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84DF0" w14:textId="77777777" w:rsidR="002A6ADD" w:rsidRPr="00911D55" w:rsidRDefault="002A6ADD" w:rsidP="002A6ADD">
      <w:pPr>
        <w:pStyle w:val="Kop1"/>
        <w:rPr>
          <w:rFonts w:ascii="Arial" w:hAnsi="Arial" w:cs="Arial"/>
          <w:b/>
          <w:color w:val="auto"/>
          <w:sz w:val="24"/>
          <w:szCs w:val="24"/>
        </w:rPr>
      </w:pPr>
      <w:r w:rsidRPr="00911D55">
        <w:rPr>
          <w:rFonts w:ascii="Arial" w:hAnsi="Arial" w:cs="Arial"/>
          <w:b/>
          <w:color w:val="auto"/>
          <w:sz w:val="24"/>
          <w:szCs w:val="24"/>
        </w:rPr>
        <w:t>Methodiek Kunstvakken inclusief CKV</w:t>
      </w:r>
    </w:p>
    <w:p w14:paraId="52C2A888" w14:textId="77777777" w:rsidR="002A6ADD" w:rsidRPr="002A6ADD" w:rsidRDefault="002A6ADD" w:rsidP="002A6ADD"/>
    <w:p w14:paraId="10C85A07" w14:textId="1C7A8789" w:rsidR="002A6ADD" w:rsidRPr="00911D55" w:rsidRDefault="002A6ADD" w:rsidP="002A6ADD">
      <w:pPr>
        <w:pStyle w:val="Normaalweb"/>
        <w:spacing w:line="270" w:lineRule="atLeast"/>
        <w:rPr>
          <w:rFonts w:ascii="Arial" w:hAnsi="Arial" w:cs="Arial"/>
          <w:color w:val="1A1A1A"/>
          <w:sz w:val="20"/>
          <w:szCs w:val="20"/>
        </w:rPr>
      </w:pPr>
      <w:r w:rsidRPr="00911D55">
        <w:rPr>
          <w:rFonts w:ascii="Arial" w:hAnsi="Arial" w:cs="Arial"/>
          <w:color w:val="1A1A1A"/>
          <w:sz w:val="20"/>
          <w:szCs w:val="20"/>
        </w:rPr>
        <w:t xml:space="preserve">Kunstvakken inclusief CKV is gericht op de brede culturele en kunstzinnige vorming van leerlingen. De essentie is dat leerlingen met een spreiding over disciplines culturele activiteiten meemaken en eigen werk maken. Het vak richt zich op de ervaringen </w:t>
      </w:r>
      <w:r w:rsidR="00AA4D09">
        <w:rPr>
          <w:rFonts w:ascii="Arial" w:hAnsi="Arial" w:cs="Arial"/>
          <w:color w:val="1A1A1A"/>
          <w:sz w:val="20"/>
          <w:szCs w:val="20"/>
        </w:rPr>
        <w:t xml:space="preserve">van </w:t>
      </w:r>
      <w:r w:rsidR="00971023" w:rsidRPr="00911D55">
        <w:rPr>
          <w:rFonts w:ascii="Arial" w:hAnsi="Arial" w:cs="Arial"/>
          <w:color w:val="1A1A1A"/>
          <w:sz w:val="20"/>
          <w:szCs w:val="20"/>
        </w:rPr>
        <w:t xml:space="preserve">kunstuitingen </w:t>
      </w:r>
      <w:r w:rsidRPr="00911D55">
        <w:rPr>
          <w:rFonts w:ascii="Arial" w:hAnsi="Arial" w:cs="Arial"/>
          <w:color w:val="1A1A1A"/>
          <w:sz w:val="20"/>
          <w:szCs w:val="20"/>
        </w:rPr>
        <w:t xml:space="preserve">en de praktijk van kunstdisciplines. Met onderstaande methodiek bouwt het  programma voort op activiteiten die leerlingen in de onderbouw uitgevoerd hebben in het brede leergebied kunst en cultuur. Tevens legt het de verbinding naar de havo. Dit voor tl-leerlingen die door willen stromen. </w:t>
      </w:r>
    </w:p>
    <w:p w14:paraId="7132723E" w14:textId="77777777" w:rsidR="002A6ADD" w:rsidRPr="00911D55" w:rsidRDefault="00971023" w:rsidP="002A6ADD">
      <w:pPr>
        <w:overflowPunct/>
        <w:autoSpaceDE/>
        <w:autoSpaceDN/>
        <w:adjustRightInd/>
        <w:spacing w:before="100" w:beforeAutospacing="1" w:after="100" w:afterAutospacing="1" w:line="270" w:lineRule="atLeast"/>
        <w:textAlignment w:val="auto"/>
        <w:rPr>
          <w:rFonts w:cs="Arial"/>
          <w:color w:val="1A1A1A"/>
          <w:sz w:val="20"/>
        </w:rPr>
      </w:pPr>
      <w:r w:rsidRPr="00911D55">
        <w:rPr>
          <w:rFonts w:cs="Arial"/>
          <w:color w:val="1A1A1A"/>
          <w:sz w:val="20"/>
        </w:rPr>
        <w:t>Voor het vak is een stappenplan, een methodiek, ontwikeld waarin zowel b</w:t>
      </w:r>
      <w:r w:rsidR="002A6ADD" w:rsidRPr="00911D55">
        <w:rPr>
          <w:rFonts w:cs="Arial"/>
          <w:color w:val="1A1A1A"/>
          <w:sz w:val="20"/>
        </w:rPr>
        <w:t xml:space="preserve">asisvaardigheden </w:t>
      </w:r>
      <w:r w:rsidR="005A4BE0" w:rsidRPr="00911D55">
        <w:rPr>
          <w:rFonts w:cs="Arial"/>
          <w:color w:val="1A1A1A"/>
          <w:sz w:val="20"/>
        </w:rPr>
        <w:t xml:space="preserve">als de </w:t>
      </w:r>
      <w:r w:rsidR="002A6ADD" w:rsidRPr="00911D55">
        <w:rPr>
          <w:rFonts w:cs="Arial"/>
          <w:color w:val="1A1A1A"/>
          <w:sz w:val="20"/>
        </w:rPr>
        <w:t>eindterm</w:t>
      </w:r>
      <w:r w:rsidR="005A4BE0" w:rsidRPr="00911D55">
        <w:rPr>
          <w:rFonts w:cs="Arial"/>
          <w:color w:val="1A1A1A"/>
          <w:sz w:val="20"/>
        </w:rPr>
        <w:t>en</w:t>
      </w:r>
      <w:r w:rsidR="00315267" w:rsidRPr="00911D55">
        <w:rPr>
          <w:rFonts w:cs="Arial"/>
          <w:color w:val="1A1A1A"/>
          <w:sz w:val="20"/>
        </w:rPr>
        <w:t xml:space="preserve"> voor O</w:t>
      </w:r>
      <w:r w:rsidR="002A6ADD" w:rsidRPr="00911D55">
        <w:rPr>
          <w:rFonts w:cs="Arial"/>
          <w:color w:val="1A1A1A"/>
          <w:sz w:val="20"/>
        </w:rPr>
        <w:t>riëntatie op leren en werken</w:t>
      </w:r>
      <w:r w:rsidR="00256104" w:rsidRPr="00911D55">
        <w:rPr>
          <w:rFonts w:cs="Arial"/>
          <w:color w:val="1A1A1A"/>
          <w:sz w:val="20"/>
        </w:rPr>
        <w:t xml:space="preserve"> </w:t>
      </w:r>
      <w:r w:rsidRPr="00911D55">
        <w:rPr>
          <w:rFonts w:cs="Arial"/>
          <w:color w:val="1A1A1A"/>
          <w:sz w:val="20"/>
        </w:rPr>
        <w:t>te verweven zijn</w:t>
      </w:r>
      <w:r w:rsidR="00315267" w:rsidRPr="00911D55">
        <w:rPr>
          <w:rFonts w:cs="Arial"/>
          <w:color w:val="1A1A1A"/>
          <w:sz w:val="20"/>
        </w:rPr>
        <w:t>.</w:t>
      </w:r>
      <w:r w:rsidRPr="00911D55">
        <w:rPr>
          <w:rFonts w:cs="Arial"/>
          <w:color w:val="1A1A1A"/>
          <w:sz w:val="20"/>
        </w:rPr>
        <w:t xml:space="preserve"> Zo is het mogelijk </w:t>
      </w:r>
      <w:r w:rsidR="002A6ADD" w:rsidRPr="00911D55">
        <w:rPr>
          <w:rFonts w:cs="Arial"/>
          <w:color w:val="1A1A1A"/>
          <w:sz w:val="20"/>
        </w:rPr>
        <w:t>een samenhangend programma te ontwikkelen. De methodiek bestaat uit 7 stappen. De st</w:t>
      </w:r>
      <w:r w:rsidR="00315267" w:rsidRPr="00911D55">
        <w:rPr>
          <w:rFonts w:cs="Arial"/>
          <w:color w:val="1A1A1A"/>
          <w:sz w:val="20"/>
        </w:rPr>
        <w:t xml:space="preserve">appen 3 tot en met 6 worden ten minste vier </w:t>
      </w:r>
      <w:r w:rsidR="002A6ADD" w:rsidRPr="00911D55">
        <w:rPr>
          <w:rFonts w:cs="Arial"/>
          <w:color w:val="1A1A1A"/>
          <w:sz w:val="20"/>
        </w:rPr>
        <w:t>keer herhaald. Onderstaand de beknopte versie</w:t>
      </w:r>
      <w:r w:rsidRPr="00911D55">
        <w:rPr>
          <w:rFonts w:cs="Arial"/>
          <w:color w:val="1A1A1A"/>
          <w:sz w:val="20"/>
        </w:rPr>
        <w:t xml:space="preserve"> met een toelichting</w:t>
      </w:r>
      <w:r w:rsidR="002A6ADD" w:rsidRPr="00911D55">
        <w:rPr>
          <w:rFonts w:cs="Arial"/>
          <w:color w:val="1A1A1A"/>
          <w:sz w:val="20"/>
        </w:rPr>
        <w:t xml:space="preserve">. </w:t>
      </w:r>
      <w:r w:rsidR="00315267" w:rsidRPr="00911D55">
        <w:rPr>
          <w:rFonts w:cs="Arial"/>
          <w:color w:val="1A1A1A"/>
          <w:sz w:val="20"/>
        </w:rPr>
        <w:t>Cursief suggesties voor de eindterm Oriëntatie op leren en werken.</w:t>
      </w:r>
    </w:p>
    <w:tbl>
      <w:tblPr>
        <w:tblStyle w:val="Onopgemaaktetabel1"/>
        <w:tblW w:w="5000" w:type="pct"/>
        <w:tblLook w:val="04A0" w:firstRow="1" w:lastRow="0" w:firstColumn="1" w:lastColumn="0" w:noHBand="0" w:noVBand="1"/>
      </w:tblPr>
      <w:tblGrid>
        <w:gridCol w:w="328"/>
        <w:gridCol w:w="2208"/>
        <w:gridCol w:w="5788"/>
      </w:tblGrid>
      <w:tr w:rsidR="002A6ADD" w:rsidRPr="00911D55" w14:paraId="55B0488E" w14:textId="77777777" w:rsidTr="00911D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 w:type="pct"/>
            <w:hideMark/>
          </w:tcPr>
          <w:p w14:paraId="37559B1A" w14:textId="7A521592" w:rsidR="002A6ADD" w:rsidRPr="00911D55" w:rsidRDefault="00911D55" w:rsidP="00911D55">
            <w:pPr>
              <w:overflowPunct/>
              <w:autoSpaceDE/>
              <w:autoSpaceDN/>
              <w:adjustRightInd/>
              <w:spacing w:line="240" w:lineRule="auto"/>
              <w:textAlignment w:val="auto"/>
              <w:rPr>
                <w:rFonts w:cs="Arial"/>
                <w:b w:val="0"/>
                <w:color w:val="1A1A1A"/>
                <w:sz w:val="20"/>
              </w:rPr>
            </w:pPr>
            <w:r>
              <w:rPr>
                <w:rFonts w:cs="Arial"/>
                <w:color w:val="1A1A1A"/>
                <w:sz w:val="20"/>
              </w:rPr>
              <w:t>1</w:t>
            </w:r>
          </w:p>
        </w:tc>
        <w:tc>
          <w:tcPr>
            <w:tcW w:w="1350" w:type="pct"/>
            <w:hideMark/>
          </w:tcPr>
          <w:p w14:paraId="6A2C018B" w14:textId="77777777" w:rsidR="002A6ADD" w:rsidRPr="00911D55" w:rsidRDefault="002A6ADD" w:rsidP="002A6ADD">
            <w:pPr>
              <w:overflowPunct/>
              <w:autoSpaceDE/>
              <w:autoSpaceDN/>
              <w:adjustRightInd/>
              <w:spacing w:line="240" w:lineRule="auto"/>
              <w:textAlignment w:val="auto"/>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911D55">
              <w:rPr>
                <w:rFonts w:cs="Arial"/>
                <w:color w:val="1A1A1A"/>
                <w:sz w:val="20"/>
              </w:rPr>
              <w:t>Oriëntatie op begrippen kunst en cultuur</w:t>
            </w:r>
          </w:p>
        </w:tc>
        <w:tc>
          <w:tcPr>
            <w:tcW w:w="5850" w:type="dxa"/>
            <w:hideMark/>
          </w:tcPr>
          <w:p w14:paraId="35442E2E" w14:textId="1E6D23F1" w:rsidR="002A6ADD" w:rsidRPr="00911D55" w:rsidRDefault="002A6ADD" w:rsidP="002A6ADD">
            <w:pPr>
              <w:overflowPunct/>
              <w:autoSpaceDE/>
              <w:autoSpaceDN/>
              <w:adjustRightInd/>
              <w:spacing w:before="100" w:beforeAutospacing="1" w:after="100" w:afterAutospacing="1" w:line="240" w:lineRule="auto"/>
              <w:textAlignment w:val="auto"/>
              <w:cnfStyle w:val="100000000000" w:firstRow="1" w:lastRow="0" w:firstColumn="0" w:lastColumn="0" w:oddVBand="0" w:evenVBand="0" w:oddHBand="0" w:evenHBand="0" w:firstRowFirstColumn="0" w:firstRowLastColumn="0" w:lastRowFirstColumn="0" w:lastRowLastColumn="0"/>
              <w:rPr>
                <w:rFonts w:cs="Arial"/>
                <w:b w:val="0"/>
                <w:color w:val="1A1A1A"/>
                <w:sz w:val="20"/>
              </w:rPr>
            </w:pPr>
            <w:r w:rsidRPr="00911D55">
              <w:rPr>
                <w:rFonts w:cs="Arial"/>
                <w:b w:val="0"/>
                <w:color w:val="1A1A1A"/>
                <w:sz w:val="20"/>
              </w:rPr>
              <w:t>Dit kan beginnen met een terugblik in de vorm van een vormvrije kunstautobiografie (woord, beeld, geluid)</w:t>
            </w:r>
            <w:r w:rsidR="00AA4D09">
              <w:rPr>
                <w:rFonts w:cs="Arial"/>
                <w:b w:val="0"/>
                <w:color w:val="1A1A1A"/>
                <w:sz w:val="20"/>
              </w:rPr>
              <w:t xml:space="preserve"> of mindmap</w:t>
            </w:r>
            <w:r w:rsidRPr="00911D55">
              <w:rPr>
                <w:rFonts w:cs="Arial"/>
                <w:b w:val="0"/>
                <w:color w:val="1A1A1A"/>
                <w:sz w:val="20"/>
              </w:rPr>
              <w:t>. Wat hebben leerlingen meegemaakt? wat hebben leerlingen gedaan op bijvoorbeeld he</w:t>
            </w:r>
            <w:r w:rsidR="00971023" w:rsidRPr="00911D55">
              <w:rPr>
                <w:rFonts w:cs="Arial"/>
                <w:b w:val="0"/>
                <w:color w:val="1A1A1A"/>
                <w:sz w:val="20"/>
              </w:rPr>
              <w:t>t gebied van muziek, mode, film</w:t>
            </w:r>
            <w:r w:rsidRPr="00911D55">
              <w:rPr>
                <w:rFonts w:cs="Arial"/>
                <w:b w:val="0"/>
                <w:color w:val="1A1A1A"/>
                <w:sz w:val="20"/>
              </w:rPr>
              <w:t xml:space="preserve"> of theater? En wat niet? Wat spreekt hen aan en waarom of waarom niet? En, Hoe definiëren leerlingen kunst en cultuur? Wat zijn de verschillen en de overeenkomsten?</w:t>
            </w:r>
          </w:p>
          <w:p w14:paraId="13AC57C8" w14:textId="77777777" w:rsidR="009A63C5" w:rsidRPr="00911D55" w:rsidRDefault="002A6ADD" w:rsidP="00971023">
            <w:pPr>
              <w:overflowPunct/>
              <w:autoSpaceDE/>
              <w:autoSpaceDN/>
              <w:adjustRightInd/>
              <w:spacing w:before="100" w:beforeAutospacing="1" w:after="100" w:afterAutospacing="1" w:line="240" w:lineRule="auto"/>
              <w:textAlignment w:val="auto"/>
              <w:cnfStyle w:val="100000000000" w:firstRow="1" w:lastRow="0" w:firstColumn="0" w:lastColumn="0" w:oddVBand="0" w:evenVBand="0" w:oddHBand="0" w:evenHBand="0" w:firstRowFirstColumn="0" w:firstRowLastColumn="0" w:lastRowFirstColumn="0" w:lastRowLastColumn="0"/>
              <w:rPr>
                <w:rFonts w:cs="Arial"/>
                <w:b w:val="0"/>
                <w:i/>
                <w:iCs/>
                <w:color w:val="1A1A1A"/>
                <w:sz w:val="20"/>
              </w:rPr>
            </w:pPr>
            <w:r w:rsidRPr="00911D55">
              <w:rPr>
                <w:rFonts w:cs="Arial"/>
                <w:b w:val="0"/>
                <w:i/>
                <w:iCs/>
                <w:color w:val="1A1A1A"/>
                <w:sz w:val="20"/>
              </w:rPr>
              <w:t>Oriëntatie op leren en werken</w:t>
            </w:r>
            <w:r w:rsidRPr="00911D55">
              <w:rPr>
                <w:rFonts w:cs="Arial"/>
                <w:b w:val="0"/>
                <w:color w:val="1A1A1A"/>
                <w:sz w:val="20"/>
              </w:rPr>
              <w:br/>
            </w:r>
            <w:r w:rsidRPr="00911D55">
              <w:rPr>
                <w:rFonts w:cs="Arial"/>
                <w:b w:val="0"/>
                <w:i/>
                <w:iCs/>
                <w:color w:val="1A1A1A"/>
                <w:sz w:val="20"/>
              </w:rPr>
              <w:t xml:space="preserve">In het kader van oriëntatie op leren en werken kunnen leerlingen bijvoorbeeld ouders, familie, buren en/of kennissen interviewen over hun ervaringen met kunst en cutluur </w:t>
            </w:r>
            <w:r w:rsidR="00971023" w:rsidRPr="00911D55">
              <w:rPr>
                <w:rFonts w:cs="Arial"/>
                <w:b w:val="0"/>
                <w:i/>
                <w:iCs/>
                <w:color w:val="1A1A1A"/>
                <w:sz w:val="20"/>
              </w:rPr>
              <w:t>en</w:t>
            </w:r>
            <w:r w:rsidRPr="00911D55">
              <w:rPr>
                <w:rFonts w:cs="Arial"/>
                <w:b w:val="0"/>
                <w:i/>
                <w:iCs/>
                <w:color w:val="1A1A1A"/>
                <w:sz w:val="20"/>
              </w:rPr>
              <w:t xml:space="preserve"> over een definitie voor kunst en cultuur. </w:t>
            </w:r>
            <w:r w:rsidR="009A63C5" w:rsidRPr="00911D55">
              <w:rPr>
                <w:rFonts w:cs="Arial"/>
                <w:b w:val="0"/>
                <w:i/>
                <w:iCs/>
                <w:color w:val="1A1A1A"/>
                <w:sz w:val="20"/>
              </w:rPr>
              <w:br/>
            </w:r>
          </w:p>
        </w:tc>
      </w:tr>
      <w:tr w:rsidR="002A6ADD" w:rsidRPr="00911D55" w14:paraId="007DBEB5" w14:textId="77777777" w:rsidTr="00911D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 w:type="pct"/>
            <w:hideMark/>
          </w:tcPr>
          <w:p w14:paraId="66DC5290" w14:textId="5967E570" w:rsidR="002A6ADD" w:rsidRPr="00911D55" w:rsidRDefault="00911D55" w:rsidP="002A6ADD">
            <w:pPr>
              <w:overflowPunct/>
              <w:autoSpaceDE/>
              <w:autoSpaceDN/>
              <w:adjustRightInd/>
              <w:spacing w:line="240" w:lineRule="auto"/>
              <w:textAlignment w:val="auto"/>
              <w:rPr>
                <w:rFonts w:cs="Arial"/>
                <w:color w:val="1A1A1A"/>
                <w:sz w:val="20"/>
              </w:rPr>
            </w:pPr>
            <w:r>
              <w:rPr>
                <w:rFonts w:cs="Arial"/>
                <w:color w:val="1A1A1A"/>
                <w:sz w:val="20"/>
              </w:rPr>
              <w:t>2</w:t>
            </w:r>
          </w:p>
        </w:tc>
        <w:tc>
          <w:tcPr>
            <w:tcW w:w="1350" w:type="pct"/>
            <w:hideMark/>
          </w:tcPr>
          <w:p w14:paraId="2D585C7E" w14:textId="38844838" w:rsidR="002A6ADD" w:rsidRPr="00911D55" w:rsidRDefault="002A6ADD" w:rsidP="002A6ADD">
            <w:pPr>
              <w:overflowPunct/>
              <w:autoSpaceDE/>
              <w:autoSpaceDN/>
              <w:adjustRightInd/>
              <w:spacing w:line="240" w:lineRule="auto"/>
              <w:textAlignment w:val="auto"/>
              <w:cnfStyle w:val="000000100000" w:firstRow="0" w:lastRow="0" w:firstColumn="0" w:lastColumn="0" w:oddVBand="0" w:evenVBand="0" w:oddHBand="1" w:evenHBand="0" w:firstRowFirstColumn="0" w:firstRowLastColumn="0" w:lastRowFirstColumn="0" w:lastRowLastColumn="0"/>
              <w:rPr>
                <w:rFonts w:cs="Arial"/>
                <w:b/>
                <w:color w:val="1A1A1A"/>
                <w:sz w:val="20"/>
              </w:rPr>
            </w:pPr>
            <w:r w:rsidRPr="00911D55">
              <w:rPr>
                <w:rFonts w:cs="Arial"/>
                <w:b/>
                <w:color w:val="1A1A1A"/>
                <w:sz w:val="20"/>
              </w:rPr>
              <w:t>Verkenning van de culturele omgeving</w:t>
            </w:r>
          </w:p>
        </w:tc>
        <w:tc>
          <w:tcPr>
            <w:tcW w:w="5850" w:type="dxa"/>
            <w:hideMark/>
          </w:tcPr>
          <w:p w14:paraId="31E1231E" w14:textId="74B6ACD1" w:rsidR="002A6ADD" w:rsidRPr="00911D55" w:rsidRDefault="002A6ADD" w:rsidP="002A6ADD">
            <w:pPr>
              <w:overflowPunct/>
              <w:autoSpaceDE/>
              <w:autoSpaceDN/>
              <w:adjustRightInd/>
              <w:spacing w:before="100" w:beforeAutospacing="1" w:after="100" w:afterAutospacing="1" w:line="240" w:lineRule="auto"/>
              <w:textAlignment w:val="auto"/>
              <w:cnfStyle w:val="000000100000" w:firstRow="0" w:lastRow="0" w:firstColumn="0" w:lastColumn="0" w:oddVBand="0" w:evenVBand="0" w:oddHBand="1" w:evenHBand="0" w:firstRowFirstColumn="0" w:firstRowLastColumn="0" w:lastRowFirstColumn="0" w:lastRowLastColumn="0"/>
              <w:rPr>
                <w:rFonts w:cs="Arial"/>
                <w:color w:val="1A1A1A"/>
                <w:sz w:val="20"/>
              </w:rPr>
            </w:pPr>
            <w:r w:rsidRPr="00911D55">
              <w:rPr>
                <w:rFonts w:cs="Arial"/>
                <w:color w:val="1A1A1A"/>
                <w:sz w:val="20"/>
              </w:rPr>
              <w:t xml:space="preserve">De verkenning kan gebeuren door leerlingen op pad te laten gaan en actief de culturele omgeving in kaart te brengen. Waar staan beelden, bij welke instellingen kun je dansen, muziek maken of schilderen, waar zijn de musea en bioscopen, welke evenementen zijn er zoal? Waar zijn de ateliers en ontwerpbureaus? En, Wat spreekt hen aan en waarom? Het kan ook dat leerlingen in de school deze informatie verzamelen. </w:t>
            </w:r>
          </w:p>
          <w:p w14:paraId="250D0B78" w14:textId="77777777" w:rsidR="009A63C5" w:rsidRPr="00911D55" w:rsidRDefault="002A6ADD" w:rsidP="002A6ADD">
            <w:pPr>
              <w:overflowPunct/>
              <w:autoSpaceDE/>
              <w:autoSpaceDN/>
              <w:adjustRightInd/>
              <w:spacing w:before="100" w:beforeAutospacing="1" w:after="100" w:afterAutospacing="1" w:line="240" w:lineRule="auto"/>
              <w:textAlignment w:val="auto"/>
              <w:cnfStyle w:val="000000100000" w:firstRow="0" w:lastRow="0" w:firstColumn="0" w:lastColumn="0" w:oddVBand="0" w:evenVBand="0" w:oddHBand="1" w:evenHBand="0" w:firstRowFirstColumn="0" w:firstRowLastColumn="0" w:lastRowFirstColumn="0" w:lastRowLastColumn="0"/>
              <w:rPr>
                <w:rFonts w:cs="Arial"/>
                <w:i/>
                <w:iCs/>
                <w:color w:val="1A1A1A"/>
                <w:sz w:val="20"/>
              </w:rPr>
            </w:pPr>
            <w:r w:rsidRPr="00911D55">
              <w:rPr>
                <w:rFonts w:cs="Arial"/>
                <w:i/>
                <w:iCs/>
                <w:color w:val="1A1A1A"/>
                <w:sz w:val="20"/>
              </w:rPr>
              <w:t>Oriëntatie op leren en werken</w:t>
            </w:r>
            <w:r w:rsidRPr="00911D55">
              <w:rPr>
                <w:rFonts w:cs="Arial"/>
                <w:color w:val="1A1A1A"/>
                <w:sz w:val="20"/>
              </w:rPr>
              <w:br/>
            </w:r>
            <w:r w:rsidRPr="00911D55">
              <w:rPr>
                <w:rFonts w:cs="Arial"/>
                <w:i/>
                <w:iCs/>
                <w:color w:val="1A1A1A"/>
                <w:sz w:val="20"/>
              </w:rPr>
              <w:t>De concrete verkenning geeft leerlingen vanzelf een beeld van bed</w:t>
            </w:r>
            <w:r w:rsidR="00971023" w:rsidRPr="00911D55">
              <w:rPr>
                <w:rFonts w:cs="Arial"/>
                <w:i/>
                <w:iCs/>
                <w:color w:val="1A1A1A"/>
                <w:sz w:val="20"/>
              </w:rPr>
              <w:t>rijven en</w:t>
            </w:r>
            <w:r w:rsidRPr="00911D55">
              <w:rPr>
                <w:rFonts w:cs="Arial"/>
                <w:i/>
                <w:iCs/>
                <w:color w:val="1A1A1A"/>
                <w:sz w:val="20"/>
              </w:rPr>
              <w:t xml:space="preserve"> instellingen in de sector. Door beroepsbeoefenaren te interviewen en een kijkje achter de schermen te nemen krijgen lee</w:t>
            </w:r>
            <w:r w:rsidR="00971023" w:rsidRPr="00911D55">
              <w:rPr>
                <w:rFonts w:cs="Arial"/>
                <w:i/>
                <w:iCs/>
                <w:color w:val="1A1A1A"/>
                <w:sz w:val="20"/>
              </w:rPr>
              <w:t>rlingen een beeld van creatieve en</w:t>
            </w:r>
            <w:r w:rsidRPr="00911D55">
              <w:rPr>
                <w:rFonts w:cs="Arial"/>
                <w:i/>
                <w:iCs/>
                <w:color w:val="1A1A1A"/>
                <w:sz w:val="20"/>
              </w:rPr>
              <w:t xml:space="preserve"> ambachtelijke beroepen en functies.</w:t>
            </w:r>
            <w:r w:rsidR="009A63C5" w:rsidRPr="00911D55">
              <w:rPr>
                <w:rFonts w:cs="Arial"/>
                <w:i/>
                <w:iCs/>
                <w:color w:val="1A1A1A"/>
                <w:sz w:val="20"/>
              </w:rPr>
              <w:br/>
            </w:r>
          </w:p>
        </w:tc>
      </w:tr>
      <w:tr w:rsidR="002A6ADD" w:rsidRPr="00911D55" w14:paraId="0D1775F4" w14:textId="77777777" w:rsidTr="00911D55">
        <w:tc>
          <w:tcPr>
            <w:cnfStyle w:val="001000000000" w:firstRow="0" w:lastRow="0" w:firstColumn="1" w:lastColumn="0" w:oddVBand="0" w:evenVBand="0" w:oddHBand="0" w:evenHBand="0" w:firstRowFirstColumn="0" w:firstRowLastColumn="0" w:lastRowFirstColumn="0" w:lastRowLastColumn="0"/>
            <w:tcW w:w="150" w:type="pct"/>
            <w:hideMark/>
          </w:tcPr>
          <w:p w14:paraId="7309DD7F" w14:textId="59157611" w:rsidR="002A6ADD" w:rsidRPr="00911D55" w:rsidRDefault="002A6ADD" w:rsidP="002A6ADD">
            <w:pPr>
              <w:overflowPunct/>
              <w:autoSpaceDE/>
              <w:autoSpaceDN/>
              <w:adjustRightInd/>
              <w:spacing w:line="240" w:lineRule="auto"/>
              <w:textAlignment w:val="auto"/>
              <w:rPr>
                <w:rFonts w:cs="Arial"/>
                <w:color w:val="1A1A1A"/>
                <w:sz w:val="20"/>
              </w:rPr>
            </w:pPr>
            <w:r w:rsidRPr="00911D55">
              <w:rPr>
                <w:rFonts w:cs="Arial"/>
                <w:color w:val="1A1A1A"/>
                <w:sz w:val="20"/>
              </w:rPr>
              <w:t>3</w:t>
            </w:r>
          </w:p>
        </w:tc>
        <w:tc>
          <w:tcPr>
            <w:tcW w:w="1350" w:type="pct"/>
            <w:hideMark/>
          </w:tcPr>
          <w:p w14:paraId="5C8356BC" w14:textId="0E14E188" w:rsidR="002A6ADD" w:rsidRPr="00911D55" w:rsidRDefault="002A6ADD" w:rsidP="00AA4D09">
            <w:pPr>
              <w:overflowPunct/>
              <w:autoSpaceDE/>
              <w:autoSpaceDN/>
              <w:adjustRightInd/>
              <w:spacing w:line="240" w:lineRule="auto"/>
              <w:textAlignment w:val="auto"/>
              <w:cnfStyle w:val="000000000000" w:firstRow="0" w:lastRow="0" w:firstColumn="0" w:lastColumn="0" w:oddVBand="0" w:evenVBand="0" w:oddHBand="0" w:evenHBand="0" w:firstRowFirstColumn="0" w:firstRowLastColumn="0" w:lastRowFirstColumn="0" w:lastRowLastColumn="0"/>
              <w:rPr>
                <w:rFonts w:cs="Arial"/>
                <w:b/>
                <w:color w:val="1A1A1A"/>
                <w:sz w:val="20"/>
              </w:rPr>
            </w:pPr>
            <w:r w:rsidRPr="00911D55">
              <w:rPr>
                <w:rFonts w:cs="Arial"/>
                <w:b/>
                <w:color w:val="1A1A1A"/>
                <w:sz w:val="20"/>
              </w:rPr>
              <w:t xml:space="preserve">De keuze voor een culturele activiteit, inclusief </w:t>
            </w:r>
            <w:r w:rsidR="00AA4D09">
              <w:rPr>
                <w:rFonts w:cs="Arial"/>
                <w:b/>
                <w:color w:val="1A1A1A"/>
                <w:sz w:val="20"/>
              </w:rPr>
              <w:t>oriëntatie</w:t>
            </w:r>
          </w:p>
        </w:tc>
        <w:tc>
          <w:tcPr>
            <w:tcW w:w="5850" w:type="dxa"/>
            <w:hideMark/>
          </w:tcPr>
          <w:p w14:paraId="35A34A95" w14:textId="218DA131" w:rsidR="002A6ADD" w:rsidRPr="00911D55" w:rsidRDefault="002A6ADD" w:rsidP="002A6ADD">
            <w:pPr>
              <w:overflowPunct/>
              <w:autoSpaceDE/>
              <w:autoSpaceDN/>
              <w:adjustRightInd/>
              <w:spacing w:before="100" w:beforeAutospacing="1" w:after="100" w:afterAutospacing="1" w:line="240" w:lineRule="auto"/>
              <w:textAlignment w:val="auto"/>
              <w:cnfStyle w:val="000000000000" w:firstRow="0" w:lastRow="0" w:firstColumn="0" w:lastColumn="0" w:oddVBand="0" w:evenVBand="0" w:oddHBand="0" w:evenHBand="0" w:firstRowFirstColumn="0" w:firstRowLastColumn="0" w:lastRowFirstColumn="0" w:lastRowLastColumn="0"/>
              <w:rPr>
                <w:rFonts w:cs="Arial"/>
                <w:color w:val="1A1A1A"/>
                <w:sz w:val="20"/>
              </w:rPr>
            </w:pPr>
            <w:r w:rsidRPr="00911D55">
              <w:rPr>
                <w:rFonts w:cs="Arial"/>
                <w:color w:val="1A1A1A"/>
                <w:sz w:val="20"/>
              </w:rPr>
              <w:t xml:space="preserve">Het examenprogramma schrijft voor dat leerlingen een keuze maken en actief deelnemen </w:t>
            </w:r>
            <w:r w:rsidR="00971023" w:rsidRPr="00911D55">
              <w:rPr>
                <w:rFonts w:cs="Arial"/>
                <w:color w:val="1A1A1A"/>
                <w:sz w:val="20"/>
              </w:rPr>
              <w:t xml:space="preserve">aan </w:t>
            </w:r>
            <w:r w:rsidRPr="00911D55">
              <w:rPr>
                <w:rFonts w:cs="Arial"/>
                <w:color w:val="1A1A1A"/>
                <w:sz w:val="20"/>
              </w:rPr>
              <w:t xml:space="preserve">culturele activiteiten. Afhankelijk van de leerlingen, de mogelijkheden in de buurt van de school en de organisatie kunnen leerlingen een </w:t>
            </w:r>
            <w:r w:rsidRPr="00911D55">
              <w:rPr>
                <w:rFonts w:cs="Arial"/>
                <w:color w:val="1A1A1A"/>
                <w:sz w:val="20"/>
              </w:rPr>
              <w:lastRenderedPageBreak/>
              <w:t xml:space="preserve">beargumenteerde keuze maken uit het aanbod in (de nabije omgeving van) de school. De culturele activiteiten brengt de leerling bij voorkeur in contact met kunstuitingen in levensechte contexten. Welke activiteiten sluiten aan bij de belevingswereld van deze leerlingen? En welke activiteiten verruimen de horizon? Om een keuze te kunnen maken uit het aanbod verzamelen leerlingen praktische en inhoudelijk informatie over de activiteit. Dit kan bijvoorbeeld gaan over de </w:t>
            </w:r>
            <w:r w:rsidR="00971023" w:rsidRPr="00911D55">
              <w:rPr>
                <w:rFonts w:cs="Arial"/>
                <w:color w:val="1A1A1A"/>
                <w:sz w:val="20"/>
              </w:rPr>
              <w:t>vorm, de inhoud en de betekenis van de kunstuiting.</w:t>
            </w:r>
          </w:p>
          <w:p w14:paraId="5470F944" w14:textId="77777777" w:rsidR="002A6ADD" w:rsidRPr="00911D55" w:rsidRDefault="002A6ADD" w:rsidP="002A6ADD">
            <w:pPr>
              <w:overflowPunct/>
              <w:autoSpaceDE/>
              <w:autoSpaceDN/>
              <w:adjustRightInd/>
              <w:spacing w:before="100" w:beforeAutospacing="1" w:after="100" w:afterAutospacing="1" w:line="240" w:lineRule="auto"/>
              <w:textAlignment w:val="auto"/>
              <w:cnfStyle w:val="000000000000" w:firstRow="0" w:lastRow="0" w:firstColumn="0" w:lastColumn="0" w:oddVBand="0" w:evenVBand="0" w:oddHBand="0" w:evenHBand="0" w:firstRowFirstColumn="0" w:firstRowLastColumn="0" w:lastRowFirstColumn="0" w:lastRowLastColumn="0"/>
              <w:rPr>
                <w:rFonts w:cs="Arial"/>
                <w:color w:val="1A1A1A"/>
                <w:sz w:val="20"/>
              </w:rPr>
            </w:pPr>
            <w:r w:rsidRPr="00911D55">
              <w:rPr>
                <w:rFonts w:cs="Arial"/>
                <w:i/>
                <w:iCs/>
                <w:color w:val="1A1A1A"/>
                <w:sz w:val="20"/>
              </w:rPr>
              <w:t>Oriëntatie op leren en werken</w:t>
            </w:r>
            <w:r w:rsidRPr="00911D55">
              <w:rPr>
                <w:rFonts w:cs="Arial"/>
                <w:color w:val="1A1A1A"/>
                <w:sz w:val="20"/>
              </w:rPr>
              <w:br/>
            </w:r>
            <w:r w:rsidRPr="00911D55">
              <w:rPr>
                <w:rFonts w:cs="Arial"/>
                <w:i/>
                <w:iCs/>
                <w:color w:val="1A1A1A"/>
                <w:sz w:val="20"/>
              </w:rPr>
              <w:t>Stimuleer de leerlingen om vanuit beroepsgerichte profielen of keuzevakken bepaalde activiteiten te kiezen en beroepen te onderzoeken. Zo wordt ook de samenhang zichtbaar tussen het kunstvak en de beroepsgerichte vakken. Voorbeelden: keuzevak fotografie en fotograaf; keuzevak digi-spel en gamedesign; keuzevak Podium en artiest. Voor tl-leerlingen die examen doen in een kunstvak kan aangesloten worden bij de CKV examen thema's.</w:t>
            </w:r>
            <w:r w:rsidR="009A63C5" w:rsidRPr="00911D55">
              <w:rPr>
                <w:rFonts w:cs="Arial"/>
                <w:i/>
                <w:iCs/>
                <w:color w:val="1A1A1A"/>
                <w:sz w:val="20"/>
              </w:rPr>
              <w:br/>
            </w:r>
          </w:p>
        </w:tc>
      </w:tr>
      <w:tr w:rsidR="002A6ADD" w:rsidRPr="00911D55" w14:paraId="061FA8BE" w14:textId="77777777" w:rsidTr="00911D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 w:type="pct"/>
            <w:hideMark/>
          </w:tcPr>
          <w:p w14:paraId="5814D9B8" w14:textId="58C2B4E8" w:rsidR="002A6ADD" w:rsidRPr="00911D55" w:rsidRDefault="002A6ADD" w:rsidP="002A6ADD">
            <w:pPr>
              <w:overflowPunct/>
              <w:autoSpaceDE/>
              <w:autoSpaceDN/>
              <w:adjustRightInd/>
              <w:spacing w:line="240" w:lineRule="auto"/>
              <w:textAlignment w:val="auto"/>
              <w:rPr>
                <w:rFonts w:cs="Arial"/>
                <w:color w:val="1A1A1A"/>
                <w:sz w:val="20"/>
              </w:rPr>
            </w:pPr>
            <w:r w:rsidRPr="00911D55">
              <w:rPr>
                <w:rFonts w:cs="Arial"/>
                <w:color w:val="1A1A1A"/>
                <w:sz w:val="20"/>
              </w:rPr>
              <w:lastRenderedPageBreak/>
              <w:t>4</w:t>
            </w:r>
          </w:p>
        </w:tc>
        <w:tc>
          <w:tcPr>
            <w:tcW w:w="1350" w:type="pct"/>
            <w:hideMark/>
          </w:tcPr>
          <w:p w14:paraId="32F15E02" w14:textId="7F0BA72D" w:rsidR="002A6ADD" w:rsidRPr="00911D55" w:rsidRDefault="002A6ADD" w:rsidP="00AA4D09">
            <w:pPr>
              <w:overflowPunct/>
              <w:autoSpaceDE/>
              <w:autoSpaceDN/>
              <w:adjustRightInd/>
              <w:spacing w:line="240" w:lineRule="auto"/>
              <w:textAlignment w:val="auto"/>
              <w:cnfStyle w:val="000000100000" w:firstRow="0" w:lastRow="0" w:firstColumn="0" w:lastColumn="0" w:oddVBand="0" w:evenVBand="0" w:oddHBand="1" w:evenHBand="0" w:firstRowFirstColumn="0" w:firstRowLastColumn="0" w:lastRowFirstColumn="0" w:lastRowLastColumn="0"/>
              <w:rPr>
                <w:rFonts w:cs="Arial"/>
                <w:b/>
                <w:color w:val="1A1A1A"/>
                <w:sz w:val="20"/>
              </w:rPr>
            </w:pPr>
            <w:r w:rsidRPr="00911D55">
              <w:rPr>
                <w:rFonts w:cs="Arial"/>
                <w:b/>
                <w:color w:val="1A1A1A"/>
                <w:sz w:val="20"/>
              </w:rPr>
              <w:t xml:space="preserve">De keuze voor een kunstzinnige activiteit, inclusief </w:t>
            </w:r>
            <w:r w:rsidR="00AA4D09">
              <w:rPr>
                <w:rFonts w:cs="Arial"/>
                <w:b/>
                <w:color w:val="1A1A1A"/>
                <w:sz w:val="20"/>
              </w:rPr>
              <w:t>oriëntatie</w:t>
            </w:r>
            <w:bookmarkStart w:id="0" w:name="_GoBack"/>
            <w:bookmarkEnd w:id="0"/>
          </w:p>
        </w:tc>
        <w:tc>
          <w:tcPr>
            <w:tcW w:w="5850" w:type="dxa"/>
            <w:hideMark/>
          </w:tcPr>
          <w:p w14:paraId="70B0375C" w14:textId="4047434C" w:rsidR="002A6ADD" w:rsidRPr="00911D55" w:rsidRDefault="002A6ADD" w:rsidP="002A6ADD">
            <w:pPr>
              <w:overflowPunct/>
              <w:autoSpaceDE/>
              <w:autoSpaceDN/>
              <w:adjustRightInd/>
              <w:spacing w:before="100" w:beforeAutospacing="1" w:after="100" w:afterAutospacing="1" w:line="240" w:lineRule="auto"/>
              <w:textAlignment w:val="auto"/>
              <w:cnfStyle w:val="000000100000" w:firstRow="0" w:lastRow="0" w:firstColumn="0" w:lastColumn="0" w:oddVBand="0" w:evenVBand="0" w:oddHBand="1" w:evenHBand="0" w:firstRowFirstColumn="0" w:firstRowLastColumn="0" w:lastRowFirstColumn="0" w:lastRowLastColumn="0"/>
              <w:rPr>
                <w:rFonts w:cs="Arial"/>
                <w:color w:val="1A1A1A"/>
                <w:sz w:val="20"/>
              </w:rPr>
            </w:pPr>
            <w:r w:rsidRPr="00911D55">
              <w:rPr>
                <w:rFonts w:cs="Arial"/>
                <w:color w:val="1A1A1A"/>
                <w:sz w:val="20"/>
              </w:rPr>
              <w:t>Het is goed de samenhang tussen de culturele activiteiten en de praktijk van één of meerdere van de kunstvakdisciplines voor leerlingen zichtbaar maken. Hoe kan de culturele activiteit de start zijn van een kunstzinnige</w:t>
            </w:r>
            <w:r w:rsidR="00971023" w:rsidRPr="00911D55">
              <w:rPr>
                <w:rFonts w:cs="Arial"/>
                <w:color w:val="1A1A1A"/>
                <w:sz w:val="20"/>
              </w:rPr>
              <w:t xml:space="preserve"> vervolgactiviteit of hoe kan een kunstzinnige activiteit aansluiten bij een culturele activiteit? </w:t>
            </w:r>
            <w:r w:rsidRPr="00911D55">
              <w:rPr>
                <w:rFonts w:cs="Arial"/>
                <w:color w:val="1A1A1A"/>
                <w:sz w:val="20"/>
              </w:rPr>
              <w:t>Is er bijvoorbeeld een verbindend thema of onderwerp denkbaar?</w:t>
            </w:r>
          </w:p>
          <w:p w14:paraId="3348ACF3" w14:textId="77777777" w:rsidR="002A6ADD" w:rsidRPr="00911D55" w:rsidRDefault="002A6ADD" w:rsidP="002A6ADD">
            <w:pPr>
              <w:overflowPunct/>
              <w:autoSpaceDE/>
              <w:autoSpaceDN/>
              <w:adjustRightInd/>
              <w:spacing w:before="100" w:beforeAutospacing="1" w:after="100" w:afterAutospacing="1" w:line="240" w:lineRule="auto"/>
              <w:textAlignment w:val="auto"/>
              <w:cnfStyle w:val="000000100000" w:firstRow="0" w:lastRow="0" w:firstColumn="0" w:lastColumn="0" w:oddVBand="0" w:evenVBand="0" w:oddHBand="1" w:evenHBand="0" w:firstRowFirstColumn="0" w:firstRowLastColumn="0" w:lastRowFirstColumn="0" w:lastRowLastColumn="0"/>
              <w:rPr>
                <w:rFonts w:cs="Arial"/>
                <w:color w:val="1A1A1A"/>
                <w:sz w:val="20"/>
              </w:rPr>
            </w:pPr>
            <w:r w:rsidRPr="00911D55">
              <w:rPr>
                <w:rFonts w:cs="Arial"/>
                <w:i/>
                <w:iCs/>
                <w:color w:val="1A1A1A"/>
                <w:sz w:val="20"/>
              </w:rPr>
              <w:t>Oriëntatie op leren en werken</w:t>
            </w:r>
            <w:r w:rsidRPr="00911D55">
              <w:rPr>
                <w:rFonts w:cs="Arial"/>
                <w:color w:val="1A1A1A"/>
                <w:sz w:val="20"/>
              </w:rPr>
              <w:br/>
            </w:r>
            <w:r w:rsidRPr="00911D55">
              <w:rPr>
                <w:rFonts w:cs="Arial"/>
                <w:i/>
                <w:iCs/>
                <w:color w:val="1A1A1A"/>
                <w:sz w:val="20"/>
              </w:rPr>
              <w:t>Hiervoor geldt hetzelfde als bij stap 3: Stimuleer de leerlingen om vanuit beroepsgerichte profielen of keuzevakken bepaalde activiteiten te kiezen en beroepen te onderzoeken. Voorbeelden: Groen en designer; BWI en meubelontwerper,  D&amp;P en vormgever. Voor tl-leerlingen die examen doen in een kunstvak kan aangesloten worden bij de CKV-examen thema's.</w:t>
            </w:r>
            <w:r w:rsidR="009A63C5" w:rsidRPr="00911D55">
              <w:rPr>
                <w:rFonts w:cs="Arial"/>
                <w:i/>
                <w:iCs/>
                <w:color w:val="1A1A1A"/>
                <w:sz w:val="20"/>
              </w:rPr>
              <w:br/>
            </w:r>
          </w:p>
        </w:tc>
      </w:tr>
      <w:tr w:rsidR="002A6ADD" w:rsidRPr="00911D55" w14:paraId="4F994E0B" w14:textId="77777777" w:rsidTr="00911D55">
        <w:tc>
          <w:tcPr>
            <w:cnfStyle w:val="001000000000" w:firstRow="0" w:lastRow="0" w:firstColumn="1" w:lastColumn="0" w:oddVBand="0" w:evenVBand="0" w:oddHBand="0" w:evenHBand="0" w:firstRowFirstColumn="0" w:firstRowLastColumn="0" w:lastRowFirstColumn="0" w:lastRowLastColumn="0"/>
            <w:tcW w:w="150" w:type="pct"/>
            <w:hideMark/>
          </w:tcPr>
          <w:p w14:paraId="079938EC" w14:textId="239EC96E" w:rsidR="002A6ADD" w:rsidRPr="00911D55" w:rsidRDefault="002A6ADD" w:rsidP="002A6ADD">
            <w:pPr>
              <w:overflowPunct/>
              <w:autoSpaceDE/>
              <w:autoSpaceDN/>
              <w:adjustRightInd/>
              <w:spacing w:line="240" w:lineRule="auto"/>
              <w:textAlignment w:val="auto"/>
              <w:rPr>
                <w:rFonts w:cs="Arial"/>
                <w:color w:val="1A1A1A"/>
                <w:sz w:val="20"/>
              </w:rPr>
            </w:pPr>
            <w:r w:rsidRPr="00911D55">
              <w:rPr>
                <w:rFonts w:cs="Arial"/>
                <w:color w:val="1A1A1A"/>
                <w:sz w:val="20"/>
              </w:rPr>
              <w:t>5</w:t>
            </w:r>
          </w:p>
        </w:tc>
        <w:tc>
          <w:tcPr>
            <w:tcW w:w="1350" w:type="pct"/>
            <w:hideMark/>
          </w:tcPr>
          <w:p w14:paraId="1C297C8B" w14:textId="1DA147E8" w:rsidR="002A6ADD" w:rsidRPr="00911D55" w:rsidRDefault="002A6ADD" w:rsidP="002A6ADD">
            <w:pPr>
              <w:overflowPunct/>
              <w:autoSpaceDE/>
              <w:autoSpaceDN/>
              <w:adjustRightInd/>
              <w:spacing w:line="240" w:lineRule="auto"/>
              <w:textAlignment w:val="auto"/>
              <w:cnfStyle w:val="000000000000" w:firstRow="0" w:lastRow="0" w:firstColumn="0" w:lastColumn="0" w:oddVBand="0" w:evenVBand="0" w:oddHBand="0" w:evenHBand="0" w:firstRowFirstColumn="0" w:firstRowLastColumn="0" w:lastRowFirstColumn="0" w:lastRowLastColumn="0"/>
              <w:rPr>
                <w:rFonts w:cs="Arial"/>
                <w:b/>
                <w:color w:val="1A1A1A"/>
                <w:sz w:val="20"/>
              </w:rPr>
            </w:pPr>
            <w:r w:rsidRPr="00911D55">
              <w:rPr>
                <w:rFonts w:cs="Arial"/>
                <w:b/>
                <w:color w:val="1A1A1A"/>
                <w:sz w:val="20"/>
              </w:rPr>
              <w:t>Ondernemen en/of produceren</w:t>
            </w:r>
          </w:p>
        </w:tc>
        <w:tc>
          <w:tcPr>
            <w:tcW w:w="5850" w:type="dxa"/>
            <w:hideMark/>
          </w:tcPr>
          <w:p w14:paraId="7E9BACEB" w14:textId="6062A89D" w:rsidR="002A6ADD" w:rsidRPr="00911D55" w:rsidRDefault="002A6ADD" w:rsidP="002A6ADD">
            <w:pPr>
              <w:overflowPunct/>
              <w:autoSpaceDE/>
              <w:autoSpaceDN/>
              <w:adjustRightInd/>
              <w:spacing w:before="100" w:beforeAutospacing="1" w:after="100" w:afterAutospacing="1" w:line="240" w:lineRule="auto"/>
              <w:textAlignment w:val="auto"/>
              <w:cnfStyle w:val="000000000000" w:firstRow="0" w:lastRow="0" w:firstColumn="0" w:lastColumn="0" w:oddVBand="0" w:evenVBand="0" w:oddHBand="0" w:evenHBand="0" w:firstRowFirstColumn="0" w:firstRowLastColumn="0" w:lastRowFirstColumn="0" w:lastRowLastColumn="0"/>
              <w:rPr>
                <w:rFonts w:cs="Arial"/>
                <w:color w:val="1A1A1A"/>
                <w:sz w:val="20"/>
              </w:rPr>
            </w:pPr>
            <w:r w:rsidRPr="00911D55">
              <w:rPr>
                <w:rFonts w:cs="Arial"/>
                <w:color w:val="1A1A1A"/>
                <w:sz w:val="20"/>
              </w:rPr>
              <w:t xml:space="preserve">Het is de uitdaging om leerlingen bij voorkeur </w:t>
            </w:r>
            <w:r w:rsidR="00971023" w:rsidRPr="00911D55">
              <w:rPr>
                <w:rFonts w:cs="Arial"/>
                <w:color w:val="1A1A1A"/>
                <w:sz w:val="20"/>
              </w:rPr>
              <w:t xml:space="preserve">buiten de school een ervaring of </w:t>
            </w:r>
            <w:r w:rsidRPr="00911D55">
              <w:rPr>
                <w:rFonts w:cs="Arial"/>
                <w:color w:val="1A1A1A"/>
                <w:sz w:val="20"/>
              </w:rPr>
              <w:t>beleving te bieden. Dit is sterk afhankelijk van de ervaring van leerlingen en de mogelijkheden in de buurt van de school. Soms is het mogelijk om handige combinaties te maken, bijvoorbeeld wanneer leerlingen een kunstenaar in zijn atelier bezoeken en werk bekijken, een interview afnemen en zelf werk kunnen produceren.</w:t>
            </w:r>
          </w:p>
          <w:p w14:paraId="3545BE10" w14:textId="77777777" w:rsidR="002A6ADD" w:rsidRPr="00911D55" w:rsidRDefault="002A6ADD" w:rsidP="002A6ADD">
            <w:pPr>
              <w:overflowPunct/>
              <w:autoSpaceDE/>
              <w:autoSpaceDN/>
              <w:adjustRightInd/>
              <w:spacing w:before="100" w:beforeAutospacing="1" w:after="100" w:afterAutospacing="1" w:line="240" w:lineRule="auto"/>
              <w:textAlignment w:val="auto"/>
              <w:cnfStyle w:val="000000000000" w:firstRow="0" w:lastRow="0" w:firstColumn="0" w:lastColumn="0" w:oddVBand="0" w:evenVBand="0" w:oddHBand="0" w:evenHBand="0" w:firstRowFirstColumn="0" w:firstRowLastColumn="0" w:lastRowFirstColumn="0" w:lastRowLastColumn="0"/>
              <w:rPr>
                <w:rFonts w:cs="Arial"/>
                <w:color w:val="1A1A1A"/>
                <w:sz w:val="20"/>
              </w:rPr>
            </w:pPr>
            <w:r w:rsidRPr="00911D55">
              <w:rPr>
                <w:rFonts w:cs="Arial"/>
                <w:i/>
                <w:iCs/>
                <w:color w:val="1A1A1A"/>
                <w:sz w:val="20"/>
              </w:rPr>
              <w:t>Oriëntatie op leren en werken</w:t>
            </w:r>
            <w:r w:rsidRPr="00911D55">
              <w:rPr>
                <w:rFonts w:cs="Arial"/>
                <w:color w:val="1A1A1A"/>
                <w:sz w:val="20"/>
              </w:rPr>
              <w:br/>
            </w:r>
            <w:r w:rsidRPr="00911D55">
              <w:rPr>
                <w:rFonts w:cs="Arial"/>
                <w:i/>
                <w:iCs/>
                <w:color w:val="1A1A1A"/>
                <w:sz w:val="20"/>
              </w:rPr>
              <w:t xml:space="preserve">Vanzelfsprekend is de activiteit die een leerling onderneemt hét moment waarop de resultaten van een opleiding en beroep zichtbaar worden. In deze fase komen leerlingen echt in contact met anderen. Dit is een goed moment om leerlingen vragen te laten stellen </w:t>
            </w:r>
            <w:r w:rsidR="00971023" w:rsidRPr="00911D55">
              <w:rPr>
                <w:rFonts w:cs="Arial"/>
                <w:i/>
                <w:iCs/>
                <w:color w:val="1A1A1A"/>
                <w:sz w:val="20"/>
              </w:rPr>
              <w:t xml:space="preserve">over het beroep </w:t>
            </w:r>
            <w:r w:rsidRPr="00911D55">
              <w:rPr>
                <w:rFonts w:cs="Arial"/>
                <w:i/>
                <w:iCs/>
                <w:color w:val="1A1A1A"/>
                <w:sz w:val="20"/>
              </w:rPr>
              <w:t>om een beeld te krijgen van het werk.</w:t>
            </w:r>
            <w:r w:rsidR="009A63C5" w:rsidRPr="00911D55">
              <w:rPr>
                <w:rFonts w:cs="Arial"/>
                <w:i/>
                <w:iCs/>
                <w:color w:val="1A1A1A"/>
                <w:sz w:val="20"/>
              </w:rPr>
              <w:br/>
            </w:r>
          </w:p>
        </w:tc>
      </w:tr>
      <w:tr w:rsidR="002A6ADD" w:rsidRPr="00911D55" w14:paraId="08A75A23" w14:textId="77777777" w:rsidTr="00911D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 w:type="pct"/>
            <w:hideMark/>
          </w:tcPr>
          <w:p w14:paraId="4753DADB" w14:textId="7B419926" w:rsidR="002A6ADD" w:rsidRPr="00911D55" w:rsidRDefault="002A6ADD" w:rsidP="002A6ADD">
            <w:pPr>
              <w:overflowPunct/>
              <w:autoSpaceDE/>
              <w:autoSpaceDN/>
              <w:adjustRightInd/>
              <w:spacing w:line="240" w:lineRule="auto"/>
              <w:textAlignment w:val="auto"/>
              <w:rPr>
                <w:rFonts w:cs="Arial"/>
                <w:color w:val="1A1A1A"/>
                <w:sz w:val="20"/>
              </w:rPr>
            </w:pPr>
            <w:r w:rsidRPr="00911D55">
              <w:rPr>
                <w:rFonts w:cs="Arial"/>
                <w:color w:val="1A1A1A"/>
                <w:sz w:val="20"/>
              </w:rPr>
              <w:lastRenderedPageBreak/>
              <w:t>6</w:t>
            </w:r>
          </w:p>
        </w:tc>
        <w:tc>
          <w:tcPr>
            <w:tcW w:w="1350" w:type="pct"/>
            <w:hideMark/>
          </w:tcPr>
          <w:p w14:paraId="76FFDBBF" w14:textId="3516F8B3" w:rsidR="002A6ADD" w:rsidRPr="00911D55" w:rsidRDefault="002A6ADD" w:rsidP="002A6ADD">
            <w:pPr>
              <w:overflowPunct/>
              <w:autoSpaceDE/>
              <w:autoSpaceDN/>
              <w:adjustRightInd/>
              <w:spacing w:line="240" w:lineRule="auto"/>
              <w:textAlignment w:val="auto"/>
              <w:cnfStyle w:val="000000100000" w:firstRow="0" w:lastRow="0" w:firstColumn="0" w:lastColumn="0" w:oddVBand="0" w:evenVBand="0" w:oddHBand="1" w:evenHBand="0" w:firstRowFirstColumn="0" w:firstRowLastColumn="0" w:lastRowFirstColumn="0" w:lastRowLastColumn="0"/>
              <w:rPr>
                <w:rFonts w:cs="Arial"/>
                <w:b/>
                <w:color w:val="1A1A1A"/>
                <w:sz w:val="20"/>
              </w:rPr>
            </w:pPr>
            <w:r w:rsidRPr="00911D55">
              <w:rPr>
                <w:rFonts w:cs="Arial"/>
                <w:b/>
                <w:color w:val="1A1A1A"/>
                <w:sz w:val="20"/>
              </w:rPr>
              <w:t>Vormvrij kunstdossier en reflectie</w:t>
            </w:r>
          </w:p>
        </w:tc>
        <w:tc>
          <w:tcPr>
            <w:tcW w:w="5850" w:type="dxa"/>
            <w:hideMark/>
          </w:tcPr>
          <w:p w14:paraId="509E2692" w14:textId="64FE5356" w:rsidR="002A6ADD" w:rsidRPr="00911D55" w:rsidRDefault="002A6ADD" w:rsidP="002A6ADD">
            <w:pPr>
              <w:overflowPunct/>
              <w:autoSpaceDE/>
              <w:autoSpaceDN/>
              <w:adjustRightInd/>
              <w:spacing w:before="100" w:beforeAutospacing="1" w:after="100" w:afterAutospacing="1" w:line="240" w:lineRule="auto"/>
              <w:textAlignment w:val="auto"/>
              <w:cnfStyle w:val="000000100000" w:firstRow="0" w:lastRow="0" w:firstColumn="0" w:lastColumn="0" w:oddVBand="0" w:evenVBand="0" w:oddHBand="1" w:evenHBand="0" w:firstRowFirstColumn="0" w:firstRowLastColumn="0" w:lastRowFirstColumn="0" w:lastRowLastColumn="0"/>
              <w:rPr>
                <w:rFonts w:cs="Arial"/>
                <w:color w:val="1A1A1A"/>
                <w:sz w:val="20"/>
              </w:rPr>
            </w:pPr>
            <w:r w:rsidRPr="00911D55">
              <w:rPr>
                <w:rFonts w:cs="Arial"/>
                <w:color w:val="1A1A1A"/>
                <w:sz w:val="20"/>
              </w:rPr>
              <w:t>Leerlingen moeten hun activiteiten documenteren in een kunstdossier waarvan de vorm vrij te kiezen is. Dit kan bijvoorbeeld ook een videofragment, een audio-bestand of een fotoreportage zijn. De keuze voor de vorm zegt iets over de interesse of talenten van de leerlingen.</w:t>
            </w:r>
          </w:p>
          <w:p w14:paraId="5E3A965D" w14:textId="77777777" w:rsidR="002A6ADD" w:rsidRPr="00911D55" w:rsidRDefault="002A6ADD" w:rsidP="002A6ADD">
            <w:pPr>
              <w:overflowPunct/>
              <w:autoSpaceDE/>
              <w:autoSpaceDN/>
              <w:adjustRightInd/>
              <w:spacing w:before="100" w:beforeAutospacing="1" w:after="100" w:afterAutospacing="1" w:line="240" w:lineRule="auto"/>
              <w:textAlignment w:val="auto"/>
              <w:cnfStyle w:val="000000100000" w:firstRow="0" w:lastRow="0" w:firstColumn="0" w:lastColumn="0" w:oddVBand="0" w:evenVBand="0" w:oddHBand="1" w:evenHBand="0" w:firstRowFirstColumn="0" w:firstRowLastColumn="0" w:lastRowFirstColumn="0" w:lastRowLastColumn="0"/>
              <w:rPr>
                <w:rFonts w:cs="Arial"/>
                <w:color w:val="1A1A1A"/>
                <w:sz w:val="20"/>
              </w:rPr>
            </w:pPr>
            <w:r w:rsidRPr="00911D55">
              <w:rPr>
                <w:rFonts w:cs="Arial"/>
                <w:i/>
                <w:iCs/>
                <w:color w:val="1A1A1A"/>
                <w:sz w:val="20"/>
              </w:rPr>
              <w:t>Oriëntatie op leren en werken</w:t>
            </w:r>
            <w:r w:rsidRPr="00911D55">
              <w:rPr>
                <w:rFonts w:cs="Arial"/>
                <w:color w:val="1A1A1A"/>
                <w:sz w:val="20"/>
              </w:rPr>
              <w:br/>
            </w:r>
            <w:r w:rsidRPr="00911D55">
              <w:rPr>
                <w:rFonts w:cs="Arial"/>
                <w:i/>
                <w:iCs/>
                <w:color w:val="1A1A1A"/>
                <w:sz w:val="20"/>
              </w:rPr>
              <w:t>Stimuleer leerlingen ook aandacht te besteden aan hun kwaliteiten en hun motieven: Wat kan ik het best en hoe weet ik dat? Waar ga en sta ik voor en waarom? Maar ook: hoe heb ik dat ontdekt?</w:t>
            </w:r>
            <w:r w:rsidR="009A63C5" w:rsidRPr="00911D55">
              <w:rPr>
                <w:rFonts w:cs="Arial"/>
                <w:i/>
                <w:iCs/>
                <w:color w:val="1A1A1A"/>
                <w:sz w:val="20"/>
              </w:rPr>
              <w:br/>
            </w:r>
          </w:p>
        </w:tc>
      </w:tr>
      <w:tr w:rsidR="002A6ADD" w:rsidRPr="00911D55" w14:paraId="623D5205" w14:textId="77777777" w:rsidTr="00911D55">
        <w:tc>
          <w:tcPr>
            <w:cnfStyle w:val="001000000000" w:firstRow="0" w:lastRow="0" w:firstColumn="1" w:lastColumn="0" w:oddVBand="0" w:evenVBand="0" w:oddHBand="0" w:evenHBand="0" w:firstRowFirstColumn="0" w:firstRowLastColumn="0" w:lastRowFirstColumn="0" w:lastRowLastColumn="0"/>
            <w:tcW w:w="150" w:type="pct"/>
            <w:hideMark/>
          </w:tcPr>
          <w:p w14:paraId="173996DB" w14:textId="5FC258C4" w:rsidR="002A6ADD" w:rsidRPr="00911D55" w:rsidRDefault="002A6ADD" w:rsidP="002A6ADD">
            <w:pPr>
              <w:overflowPunct/>
              <w:autoSpaceDE/>
              <w:autoSpaceDN/>
              <w:adjustRightInd/>
              <w:spacing w:line="240" w:lineRule="auto"/>
              <w:textAlignment w:val="auto"/>
              <w:rPr>
                <w:rFonts w:cs="Arial"/>
                <w:color w:val="1A1A1A"/>
                <w:sz w:val="20"/>
              </w:rPr>
            </w:pPr>
            <w:r w:rsidRPr="00911D55">
              <w:rPr>
                <w:rFonts w:cs="Arial"/>
                <w:color w:val="1A1A1A"/>
                <w:sz w:val="20"/>
              </w:rPr>
              <w:t>7</w:t>
            </w:r>
          </w:p>
        </w:tc>
        <w:tc>
          <w:tcPr>
            <w:tcW w:w="1350" w:type="pct"/>
            <w:hideMark/>
          </w:tcPr>
          <w:p w14:paraId="175D147F" w14:textId="786F1DBD" w:rsidR="002A6ADD" w:rsidRPr="00911D55" w:rsidRDefault="002A6ADD" w:rsidP="002A6ADD">
            <w:pPr>
              <w:overflowPunct/>
              <w:autoSpaceDE/>
              <w:autoSpaceDN/>
              <w:adjustRightInd/>
              <w:spacing w:line="240" w:lineRule="auto"/>
              <w:textAlignment w:val="auto"/>
              <w:cnfStyle w:val="000000000000" w:firstRow="0" w:lastRow="0" w:firstColumn="0" w:lastColumn="0" w:oddVBand="0" w:evenVBand="0" w:oddHBand="0" w:evenHBand="0" w:firstRowFirstColumn="0" w:firstRowLastColumn="0" w:lastRowFirstColumn="0" w:lastRowLastColumn="0"/>
              <w:rPr>
                <w:rFonts w:cs="Arial"/>
                <w:b/>
                <w:color w:val="1A1A1A"/>
                <w:sz w:val="20"/>
              </w:rPr>
            </w:pPr>
            <w:r w:rsidRPr="00911D55">
              <w:rPr>
                <w:rFonts w:cs="Arial"/>
                <w:b/>
                <w:color w:val="1A1A1A"/>
                <w:sz w:val="20"/>
              </w:rPr>
              <w:t>Presentatie</w:t>
            </w:r>
          </w:p>
        </w:tc>
        <w:tc>
          <w:tcPr>
            <w:tcW w:w="5850" w:type="dxa"/>
            <w:hideMark/>
          </w:tcPr>
          <w:p w14:paraId="68E803CE" w14:textId="3EA83F5C" w:rsidR="002A6ADD" w:rsidRPr="00911D55" w:rsidRDefault="002A6ADD" w:rsidP="002A6ADD">
            <w:pPr>
              <w:overflowPunct/>
              <w:autoSpaceDE/>
              <w:autoSpaceDN/>
              <w:adjustRightInd/>
              <w:spacing w:before="100" w:beforeAutospacing="1" w:after="100" w:afterAutospacing="1" w:line="240" w:lineRule="auto"/>
              <w:textAlignment w:val="auto"/>
              <w:cnfStyle w:val="000000000000" w:firstRow="0" w:lastRow="0" w:firstColumn="0" w:lastColumn="0" w:oddVBand="0" w:evenVBand="0" w:oddHBand="0" w:evenHBand="0" w:firstRowFirstColumn="0" w:firstRowLastColumn="0" w:lastRowFirstColumn="0" w:lastRowLastColumn="0"/>
              <w:rPr>
                <w:rFonts w:cs="Arial"/>
                <w:color w:val="1A1A1A"/>
                <w:sz w:val="20"/>
              </w:rPr>
            </w:pPr>
            <w:r w:rsidRPr="00911D55">
              <w:rPr>
                <w:rFonts w:cs="Arial"/>
                <w:color w:val="1A1A1A"/>
                <w:sz w:val="20"/>
              </w:rPr>
              <w:t>Tijdens de presentatie delen de leerlingen hun ervaringen met medeleerlingen en leraren. Dit is ook het moment om het eigen werk onder de aandacht te brengen. Voor de verdere ontwikkeling van de leerling is het van belang dat de leerling weet door welke ervaring of welk inzicht de leerling is geraakt</w:t>
            </w:r>
            <w:r w:rsidR="00971023" w:rsidRPr="00911D55">
              <w:rPr>
                <w:rFonts w:cs="Arial"/>
                <w:color w:val="1A1A1A"/>
                <w:sz w:val="20"/>
              </w:rPr>
              <w:t>.</w:t>
            </w:r>
          </w:p>
          <w:p w14:paraId="27E6F477" w14:textId="77777777" w:rsidR="002A6ADD" w:rsidRPr="00911D55" w:rsidRDefault="002A6ADD" w:rsidP="002A6ADD">
            <w:pPr>
              <w:overflowPunct/>
              <w:autoSpaceDE/>
              <w:autoSpaceDN/>
              <w:adjustRightInd/>
              <w:spacing w:before="100" w:beforeAutospacing="1" w:after="100" w:afterAutospacing="1" w:line="240" w:lineRule="auto"/>
              <w:textAlignment w:val="auto"/>
              <w:cnfStyle w:val="000000000000" w:firstRow="0" w:lastRow="0" w:firstColumn="0" w:lastColumn="0" w:oddVBand="0" w:evenVBand="0" w:oddHBand="0" w:evenHBand="0" w:firstRowFirstColumn="0" w:firstRowLastColumn="0" w:lastRowFirstColumn="0" w:lastRowLastColumn="0"/>
              <w:rPr>
                <w:rFonts w:cs="Arial"/>
                <w:color w:val="1A1A1A"/>
                <w:sz w:val="20"/>
              </w:rPr>
            </w:pPr>
            <w:r w:rsidRPr="00911D55">
              <w:rPr>
                <w:rFonts w:cs="Arial"/>
                <w:i/>
                <w:iCs/>
                <w:color w:val="1A1A1A"/>
                <w:sz w:val="20"/>
              </w:rPr>
              <w:t>Oriëntatie op leren en werken</w:t>
            </w:r>
            <w:r w:rsidRPr="00911D55">
              <w:rPr>
                <w:rFonts w:cs="Arial"/>
                <w:color w:val="1A1A1A"/>
                <w:sz w:val="20"/>
              </w:rPr>
              <w:br/>
            </w:r>
            <w:r w:rsidRPr="00911D55">
              <w:rPr>
                <w:rFonts w:cs="Arial"/>
                <w:i/>
                <w:iCs/>
                <w:color w:val="1A1A1A"/>
                <w:sz w:val="20"/>
              </w:rPr>
              <w:t>Vanzelfsprekend wordt er ook vooruit geblikt: wat betekenen de ervaringen voor het vervolg van de loopbaan en voor de vrije tijd?</w:t>
            </w:r>
            <w:r w:rsidR="009A63C5" w:rsidRPr="00911D55">
              <w:rPr>
                <w:rFonts w:cs="Arial"/>
                <w:i/>
                <w:iCs/>
                <w:color w:val="1A1A1A"/>
                <w:sz w:val="20"/>
              </w:rPr>
              <w:br/>
            </w:r>
          </w:p>
        </w:tc>
      </w:tr>
    </w:tbl>
    <w:p w14:paraId="65806D05" w14:textId="77777777" w:rsidR="00E51397" w:rsidRPr="00911D55" w:rsidRDefault="00E51397" w:rsidP="001615E3">
      <w:pPr>
        <w:rPr>
          <w:rFonts w:cs="Arial"/>
          <w:sz w:val="20"/>
        </w:rPr>
      </w:pPr>
    </w:p>
    <w:sectPr w:rsidR="00E51397" w:rsidRPr="00911D55" w:rsidSect="00DD4603">
      <w:footerReference w:type="default" r:id="rId10"/>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B9EFC" w14:textId="77777777" w:rsidR="002A6ADD" w:rsidRDefault="002A6ADD">
      <w:r>
        <w:separator/>
      </w:r>
    </w:p>
  </w:endnote>
  <w:endnote w:type="continuationSeparator" w:id="0">
    <w:p w14:paraId="16AF0650" w14:textId="77777777" w:rsidR="002A6ADD" w:rsidRDefault="002A6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1E555" w14:textId="5B5BECAD" w:rsidR="00E51397" w:rsidRDefault="00227972" w:rsidP="00227972">
    <w:pPr>
      <w:pStyle w:val="Voettekst"/>
      <w:tabs>
        <w:tab w:val="clear" w:pos="9072"/>
        <w:tab w:val="right" w:pos="8280"/>
      </w:tabs>
    </w:pPr>
    <w:r>
      <w:rPr>
        <w:rStyle w:val="Paginanummer"/>
      </w:rPr>
      <w:t>B</w:t>
    </w:r>
    <w:r w:rsidR="00250390">
      <w:rPr>
        <w:rStyle w:val="Paginanummer"/>
      </w:rPr>
      <w:t xml:space="preserve">ron: </w:t>
    </w:r>
    <w:hyperlink r:id="rId1" w:history="1">
      <w:r w:rsidR="00250390" w:rsidRPr="009E21AF">
        <w:rPr>
          <w:rStyle w:val="Hyperlink"/>
        </w:rPr>
        <w:t>www.handreikingschoolexamen.slo.nl</w:t>
      </w:r>
    </w:hyperlink>
    <w:r>
      <w:rPr>
        <w:rStyle w:val="Paginanummer"/>
      </w:rPr>
      <w:tab/>
    </w:r>
    <w:r w:rsidR="00911D55">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AA4D09">
      <w:rPr>
        <w:rStyle w:val="Paginanummer"/>
        <w:noProof/>
      </w:rPr>
      <w:t>1</w:t>
    </w:r>
    <w:r w:rsidR="00A62CF2">
      <w:rPr>
        <w:rStyle w:val="Paginanummer"/>
      </w:rPr>
      <w:fldChar w:fldCharType="end"/>
    </w:r>
    <w:r w:rsidR="00995FAA">
      <w:rPr>
        <w:noProof/>
      </w:rPr>
      <w:drawing>
        <wp:anchor distT="0" distB="0" distL="114300" distR="114300" simplePos="0" relativeHeight="251657728" behindDoc="1" locked="1" layoutInCell="1" allowOverlap="1">
          <wp:simplePos x="0" y="0"/>
          <wp:positionH relativeFrom="column">
            <wp:posOffset>-1141095</wp:posOffset>
          </wp:positionH>
          <wp:positionV relativeFrom="page">
            <wp:posOffset>6812280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8A1E6" w14:textId="77777777" w:rsidR="002A6ADD" w:rsidRDefault="002A6ADD">
      <w:r>
        <w:separator/>
      </w:r>
    </w:p>
  </w:footnote>
  <w:footnote w:type="continuationSeparator" w:id="0">
    <w:p w14:paraId="2817E792" w14:textId="77777777" w:rsidR="002A6ADD" w:rsidRDefault="002A6A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DD"/>
    <w:rsid w:val="001615E3"/>
    <w:rsid w:val="001A565A"/>
    <w:rsid w:val="00227972"/>
    <w:rsid w:val="00235D22"/>
    <w:rsid w:val="00250390"/>
    <w:rsid w:val="00256104"/>
    <w:rsid w:val="002A6ADD"/>
    <w:rsid w:val="00315267"/>
    <w:rsid w:val="003E0EA5"/>
    <w:rsid w:val="005A4BE0"/>
    <w:rsid w:val="00667672"/>
    <w:rsid w:val="00762834"/>
    <w:rsid w:val="007F016D"/>
    <w:rsid w:val="008038A1"/>
    <w:rsid w:val="0088760E"/>
    <w:rsid w:val="00890B33"/>
    <w:rsid w:val="00911D55"/>
    <w:rsid w:val="00971023"/>
    <w:rsid w:val="00995FAA"/>
    <w:rsid w:val="009A63C5"/>
    <w:rsid w:val="009D59F7"/>
    <w:rsid w:val="00A62CF2"/>
    <w:rsid w:val="00AA4D09"/>
    <w:rsid w:val="00CC3512"/>
    <w:rsid w:val="00DA50A2"/>
    <w:rsid w:val="00DB21B0"/>
    <w:rsid w:val="00DD4603"/>
    <w:rsid w:val="00E51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C9EBDD3"/>
  <w15:docId w15:val="{7B31BEAF-E22D-451E-89D8-0E01F5517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paragraph" w:styleId="Kop1">
    <w:name w:val="heading 1"/>
    <w:basedOn w:val="Standaard"/>
    <w:next w:val="Standaard"/>
    <w:link w:val="Kop1Char"/>
    <w:qFormat/>
    <w:rsid w:val="002A6AD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paragraph" w:styleId="Normaalweb">
    <w:name w:val="Normal (Web)"/>
    <w:basedOn w:val="Standaard"/>
    <w:semiHidden/>
    <w:unhideWhenUsed/>
    <w:rsid w:val="002A6ADD"/>
    <w:rPr>
      <w:rFonts w:ascii="Times New Roman" w:hAnsi="Times New Roman"/>
      <w:sz w:val="24"/>
      <w:szCs w:val="24"/>
    </w:rPr>
  </w:style>
  <w:style w:type="character" w:customStyle="1" w:styleId="Kop1Char">
    <w:name w:val="Kop 1 Char"/>
    <w:basedOn w:val="Standaardalinea-lettertype"/>
    <w:link w:val="Kop1"/>
    <w:rsid w:val="002A6ADD"/>
    <w:rPr>
      <w:rFonts w:asciiTheme="majorHAnsi" w:eastAsiaTheme="majorEastAsia" w:hAnsiTheme="majorHAnsi" w:cstheme="majorBidi"/>
      <w:color w:val="365F91" w:themeColor="accent1" w:themeShade="BF"/>
      <w:sz w:val="32"/>
      <w:szCs w:val="32"/>
    </w:rPr>
  </w:style>
  <w:style w:type="character" w:styleId="Hyperlink">
    <w:name w:val="Hyperlink"/>
    <w:basedOn w:val="Standaardalinea-lettertype"/>
    <w:unhideWhenUsed/>
    <w:rsid w:val="00250390"/>
    <w:rPr>
      <w:color w:val="0000FF" w:themeColor="hyperlink"/>
      <w:u w:val="single"/>
    </w:rPr>
  </w:style>
  <w:style w:type="character" w:styleId="GevolgdeHyperlink">
    <w:name w:val="FollowedHyperlink"/>
    <w:basedOn w:val="Standaardalinea-lettertype"/>
    <w:semiHidden/>
    <w:unhideWhenUsed/>
    <w:rsid w:val="00250390"/>
    <w:rPr>
      <w:color w:val="800080" w:themeColor="followedHyperlink"/>
      <w:u w:val="single"/>
    </w:rPr>
  </w:style>
  <w:style w:type="table" w:styleId="Rastertabel4-Accent5">
    <w:name w:val="Grid Table 4 Accent 5"/>
    <w:basedOn w:val="Standaardtabel"/>
    <w:uiPriority w:val="49"/>
    <w:rsid w:val="0066767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Onopgemaaktetabel1">
    <w:name w:val="Plain Table 1"/>
    <w:basedOn w:val="Standaardtabel"/>
    <w:uiPriority w:val="41"/>
    <w:rsid w:val="00911D5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395613">
      <w:bodyDiv w:val="1"/>
      <w:marLeft w:val="0"/>
      <w:marRight w:val="0"/>
      <w:marTop w:val="0"/>
      <w:marBottom w:val="0"/>
      <w:divBdr>
        <w:top w:val="none" w:sz="0" w:space="0" w:color="auto"/>
        <w:left w:val="none" w:sz="0" w:space="0" w:color="auto"/>
        <w:bottom w:val="none" w:sz="0" w:space="0" w:color="auto"/>
        <w:right w:val="none" w:sz="0" w:space="0" w:color="auto"/>
      </w:divBdr>
      <w:divsChild>
        <w:div w:id="218714986">
          <w:marLeft w:val="0"/>
          <w:marRight w:val="0"/>
          <w:marTop w:val="0"/>
          <w:marBottom w:val="0"/>
          <w:divBdr>
            <w:top w:val="none" w:sz="0" w:space="0" w:color="auto"/>
            <w:left w:val="none" w:sz="0" w:space="0" w:color="auto"/>
            <w:bottom w:val="none" w:sz="0" w:space="0" w:color="auto"/>
            <w:right w:val="none" w:sz="0" w:space="0" w:color="auto"/>
          </w:divBdr>
          <w:divsChild>
            <w:div w:id="1267276045">
              <w:marLeft w:val="0"/>
              <w:marRight w:val="0"/>
              <w:marTop w:val="0"/>
              <w:marBottom w:val="0"/>
              <w:divBdr>
                <w:top w:val="none" w:sz="0" w:space="0" w:color="auto"/>
                <w:left w:val="none" w:sz="0" w:space="0" w:color="auto"/>
                <w:bottom w:val="none" w:sz="0" w:space="0" w:color="auto"/>
                <w:right w:val="none" w:sz="0" w:space="0" w:color="auto"/>
              </w:divBdr>
              <w:divsChild>
                <w:div w:id="795834255">
                  <w:marLeft w:val="0"/>
                  <w:marRight w:val="0"/>
                  <w:marTop w:val="0"/>
                  <w:marBottom w:val="0"/>
                  <w:divBdr>
                    <w:top w:val="none" w:sz="0" w:space="0" w:color="auto"/>
                    <w:left w:val="none" w:sz="0" w:space="0" w:color="auto"/>
                    <w:bottom w:val="none" w:sz="0" w:space="0" w:color="auto"/>
                    <w:right w:val="none" w:sz="0" w:space="0" w:color="auto"/>
                  </w:divBdr>
                  <w:divsChild>
                    <w:div w:id="929502928">
                      <w:marLeft w:val="0"/>
                      <w:marRight w:val="0"/>
                      <w:marTop w:val="0"/>
                      <w:marBottom w:val="0"/>
                      <w:divBdr>
                        <w:top w:val="none" w:sz="0" w:space="0" w:color="auto"/>
                        <w:left w:val="none" w:sz="0" w:space="0" w:color="auto"/>
                        <w:bottom w:val="none" w:sz="0" w:space="0" w:color="auto"/>
                        <w:right w:val="none" w:sz="0" w:space="0" w:color="auto"/>
                      </w:divBdr>
                      <w:divsChild>
                        <w:div w:id="1216350450">
                          <w:marLeft w:val="0"/>
                          <w:marRight w:val="0"/>
                          <w:marTop w:val="0"/>
                          <w:marBottom w:val="0"/>
                          <w:divBdr>
                            <w:top w:val="none" w:sz="0" w:space="0" w:color="auto"/>
                            <w:left w:val="none" w:sz="0" w:space="0" w:color="auto"/>
                            <w:bottom w:val="none" w:sz="0" w:space="0" w:color="auto"/>
                            <w:right w:val="none" w:sz="0" w:space="0" w:color="auto"/>
                          </w:divBdr>
                          <w:divsChild>
                            <w:div w:id="1215702110">
                              <w:marLeft w:val="0"/>
                              <w:marRight w:val="0"/>
                              <w:marTop w:val="0"/>
                              <w:marBottom w:val="0"/>
                              <w:divBdr>
                                <w:top w:val="none" w:sz="0" w:space="0" w:color="auto"/>
                                <w:left w:val="none" w:sz="0" w:space="0" w:color="auto"/>
                                <w:bottom w:val="none" w:sz="0" w:space="0" w:color="auto"/>
                                <w:right w:val="none" w:sz="0" w:space="0" w:color="auto"/>
                              </w:divBdr>
                              <w:divsChild>
                                <w:div w:id="1303971382">
                                  <w:marLeft w:val="0"/>
                                  <w:marRight w:val="0"/>
                                  <w:marTop w:val="0"/>
                                  <w:marBottom w:val="0"/>
                                  <w:divBdr>
                                    <w:top w:val="none" w:sz="0" w:space="0" w:color="auto"/>
                                    <w:left w:val="none" w:sz="0" w:space="0" w:color="auto"/>
                                    <w:bottom w:val="none" w:sz="0" w:space="0" w:color="auto"/>
                                    <w:right w:val="none" w:sz="0" w:space="0" w:color="auto"/>
                                  </w:divBdr>
                                  <w:divsChild>
                                    <w:div w:id="20892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handreikingschoolexamen.slo.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TermInfo xmlns="http://schemas.microsoft.com/office/infopath/2007/PartnerControls">
          <TermName xmlns="http://schemas.microsoft.com/office/infopath/2007/PartnerControls">Vmbo</TermName>
          <TermId xmlns="http://schemas.microsoft.com/office/infopath/2007/PartnerControls">a0882a19-c86b-49cc-ac4f-e64db7811433</TermId>
        </TermInfo>
      </Term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TermInfo xmlns="http://schemas.microsoft.com/office/infopath/2007/PartnerControls">
          <TermName xmlns="http://schemas.microsoft.com/office/infopath/2007/PartnerControls">Eindtermen</TermName>
          <TermId xmlns="http://schemas.microsoft.com/office/infopath/2007/PartnerControls">8ecfae0c-85a1-408e-9691-b7bc821ce222</TermId>
        </TermInfo>
      </Terms>
    </RepCurricularTheme_0>
    <RepSection_0 xmlns="http://schemas.microsoft.com/sharepoint/v3">
      <Terms xmlns="http://schemas.microsoft.com/office/infopath/2007/PartnerControls">
        <TermInfo xmlns="http://schemas.microsoft.com/office/infopath/2007/PartnerControls">
          <TermName xmlns="http://schemas.microsoft.com/office/infopath/2007/PartnerControls">Kunst ＆ cultuur</TermName>
          <TermId xmlns="http://schemas.microsoft.com/office/infopath/2007/PartnerControls">20f36bf2-c273-4200-9cbf-5c1f095b83f1</TermId>
        </TermInfo>
      </Terms>
    </RepSection_0>
    <RepSummary xmlns="http://schemas.microsoft.com/sharepoint/v3" xsi:nil="true"/>
    <RepRelationOtherSloProjects xmlns="http://schemas.microsoft.com/sharepoint/v3" xsi:nil="true"/>
    <TaxCatchAll xmlns="7106a2ac-038a-457f-8b58-ec67130d9d6d">
      <Value>6</Value>
      <Value>644</Value>
      <Value>68</Value>
      <Value>84</Value>
      <Value>140</Value>
    </TaxCatchAll>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a6898899-0b3c-4894-903b-6d77cee0ee3d</TermId>
        </TermInfo>
      </Term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i:05.t|slo saml provider|v.vanlanschothubrecht@slo.nl</DisplayName>
        <AccountId>200</AccountId>
        <AccountType/>
      </UserInfo>
    </RepAuthorInternal>
    <RepProjectName xmlns="http://schemas.microsoft.com/sharepoint/v3">digitale handreikingen schoolexamen</RepProjectName>
    <RepApaNotation xmlns="http://schemas.microsoft.com/sharepoint/v3" xsi:nil="true"/>
    <_dlc_DocId xmlns="7106a2ac-038a-457f-8b58-ec67130d9d6d">47XQ5P3E4USX-10-3959</_dlc_DocId>
    <_dlc_DocIdUrl xmlns="7106a2ac-038a-457f-8b58-ec67130d9d6d">
      <Url>https://cms-downloads.slo.nl/_layouts/15/DocIdRedir.aspx?ID=47XQ5P3E4USX-10-3959</Url>
      <Description>47XQ5P3E4USX-10-3959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55CA6E-114A-4558-8FDF-A386BE11ECB0}"/>
</file>

<file path=customXml/itemProps2.xml><?xml version="1.0" encoding="utf-8"?>
<ds:datastoreItem xmlns:ds="http://schemas.openxmlformats.org/officeDocument/2006/customXml" ds:itemID="{7EC83F1F-4463-4C13-A16C-5FB9053AECFE}"/>
</file>

<file path=customXml/itemProps3.xml><?xml version="1.0" encoding="utf-8"?>
<ds:datastoreItem xmlns:ds="http://schemas.openxmlformats.org/officeDocument/2006/customXml" ds:itemID="{F0F7170F-DE67-408D-A30E-17056EA26B3E}"/>
</file>

<file path=customXml/itemProps4.xml><?xml version="1.0" encoding="utf-8"?>
<ds:datastoreItem xmlns:ds="http://schemas.openxmlformats.org/officeDocument/2006/customXml" ds:itemID="{819B063E-0988-4239-B9F2-9D1211B6D832}"/>
</file>

<file path=docProps/app.xml><?xml version="1.0" encoding="utf-8"?>
<Properties xmlns="http://schemas.openxmlformats.org/officeDocument/2006/extended-properties" xmlns:vt="http://schemas.openxmlformats.org/officeDocument/2006/docPropsVTypes">
  <Template>lesbrief.dotm</Template>
  <TotalTime>3</TotalTime>
  <Pages>3</Pages>
  <Words>980</Words>
  <Characters>5392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6360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 methodiek Kunstvakken</dc:title>
  <dc:subject/>
  <dc:creator>Viola van Lanschot Hubrecht</dc:creator>
  <cp:keywords/>
  <dc:description/>
  <cp:lastModifiedBy>Viola van Lanschot Hubrecht</cp:lastModifiedBy>
  <cp:revision>3</cp:revision>
  <cp:lastPrinted>2008-09-29T14:29:00Z</cp:lastPrinted>
  <dcterms:created xsi:type="dcterms:W3CDTF">2017-10-03T13:26:00Z</dcterms:created>
  <dcterms:modified xsi:type="dcterms:W3CDTF">2018-01-12T12:17:00Z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48cc5eee-27be-4581-a8fb-3666501bd596</vt:lpwstr>
  </property>
  <property fmtid="{D5CDD505-2E9C-101B-9397-08002B2CF9AE}" pid="4" name="RepAreasOfExpertise">
    <vt:lpwstr/>
  </property>
  <property fmtid="{D5CDD505-2E9C-101B-9397-08002B2CF9AE}" pid="5" name="TaxKeyword">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84;#Eindtermen|8ecfae0c-85a1-408e-9691-b7bc821ce222</vt:lpwstr>
  </property>
  <property fmtid="{D5CDD505-2E9C-101B-9397-08002B2CF9AE}" pid="9" name="TaxKeywordTaxHTField">
    <vt:lpwstr/>
  </property>
  <property fmtid="{D5CDD505-2E9C-101B-9397-08002B2CF9AE}" pid="10" name="RepSection">
    <vt:lpwstr>6;#Kunst ＆ cultuur|20f36bf2-c273-4200-9cbf-5c1f095b83f1</vt:lpwstr>
  </property>
  <property fmtid="{D5CDD505-2E9C-101B-9397-08002B2CF9AE}" pid="11" name="RepAuthor">
    <vt:lpwstr/>
  </property>
  <property fmtid="{D5CDD505-2E9C-101B-9397-08002B2CF9AE}" pid="12" name="RepSubjectContent">
    <vt:lpwstr/>
  </property>
  <property fmtid="{D5CDD505-2E9C-101B-9397-08002B2CF9AE}" pid="13" name="RepSector">
    <vt:lpwstr>140;#Vmbo|a0882a19-c86b-49cc-ac4f-e64db7811433</vt:lpwstr>
  </property>
  <property fmtid="{D5CDD505-2E9C-101B-9397-08002B2CF9AE}" pid="14" name="RepFileFormat">
    <vt:lpwstr>68;#Word-bestand|4e7f53eb-a521-4daf-93ad-035b41a9ede4</vt:lpwstr>
  </property>
  <property fmtid="{D5CDD505-2E9C-101B-9397-08002B2CF9AE}" pid="15" name="RepYear">
    <vt:lpwstr>644;#2017|a6898899-0b3c-4894-903b-6d77cee0ee3d</vt:lpwstr>
  </property>
</Properties>
</file>