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97" w:rsidRDefault="00BD0ABE" w:rsidP="00BD0ABE">
      <w:pPr>
        <w:pStyle w:val="Kop1"/>
      </w:pPr>
      <w:r>
        <w:t>Schoolportret Helicon vmbo, Nijmegen</w:t>
      </w:r>
      <w:r w:rsidR="009D59F7">
        <w:t xml:space="preserve"> </w:t>
      </w:r>
    </w:p>
    <w:p w:rsidR="00BD0ABE" w:rsidRPr="00F053F3" w:rsidRDefault="00BD0ABE" w:rsidP="00BD0ABE">
      <w:pPr>
        <w:rPr>
          <w:rFonts w:asciiTheme="minorHAnsi" w:hAnsiTheme="minorHAnsi"/>
          <w:szCs w:val="18"/>
        </w:rPr>
      </w:pPr>
      <w:r w:rsidRPr="00F053F3">
        <w:rPr>
          <w:rFonts w:asciiTheme="minorHAnsi" w:hAnsiTheme="minorHAnsi"/>
          <w:szCs w:val="18"/>
        </w:rPr>
        <w:t>Juli 2017, Viola van Lanschot Hubrecht (SLO)</w:t>
      </w:r>
    </w:p>
    <w:p w:rsidR="00BD0ABE" w:rsidRPr="00F053F3" w:rsidRDefault="00BD0ABE" w:rsidP="00BD0ABE">
      <w:pPr>
        <w:rPr>
          <w:rFonts w:asciiTheme="minorHAnsi" w:hAnsiTheme="minorHAnsi"/>
          <w:szCs w:val="18"/>
        </w:rPr>
      </w:pPr>
      <w:r w:rsidRPr="00F053F3">
        <w:rPr>
          <w:rFonts w:asciiTheme="minorHAnsi" w:hAnsiTheme="minorHAnsi"/>
          <w:szCs w:val="18"/>
        </w:rPr>
        <w:t xml:space="preserve">Website: </w:t>
      </w:r>
      <w:hyperlink r:id="rId8" w:history="1">
        <w:r w:rsidRPr="00F053F3">
          <w:rPr>
            <w:rStyle w:val="Hyperlink"/>
            <w:rFonts w:asciiTheme="minorHAnsi" w:hAnsiTheme="minorHAnsi"/>
            <w:szCs w:val="18"/>
          </w:rPr>
          <w:t>http://www.heliconvmbonijmegen.nl/</w:t>
        </w:r>
      </w:hyperlink>
    </w:p>
    <w:p w:rsidR="00BD0ABE" w:rsidRPr="00F053F3" w:rsidRDefault="00BD0ABE" w:rsidP="00BD0ABE">
      <w:pPr>
        <w:rPr>
          <w:rFonts w:asciiTheme="minorHAnsi" w:hAnsiTheme="minorHAnsi"/>
          <w:szCs w:val="18"/>
        </w:rPr>
      </w:pPr>
      <w:r w:rsidRPr="00F053F3">
        <w:rPr>
          <w:rFonts w:asciiTheme="minorHAnsi" w:hAnsiTheme="minorHAnsi"/>
          <w:szCs w:val="18"/>
        </w:rPr>
        <w:t>Contactpersoon: Ine Kruit (i.kruit@helicon.nl)</w:t>
      </w:r>
    </w:p>
    <w:p w:rsidR="00BD0ABE" w:rsidRPr="00F053F3" w:rsidRDefault="00BD0ABE" w:rsidP="00BD0ABE">
      <w:pPr>
        <w:rPr>
          <w:rFonts w:asciiTheme="minorHAnsi" w:hAnsiTheme="minorHAnsi"/>
          <w:szCs w:val="18"/>
        </w:rPr>
      </w:pPr>
    </w:p>
    <w:p w:rsidR="0084345F" w:rsidRPr="008A6C92" w:rsidRDefault="00BD0ABE" w:rsidP="00536A4B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Wat vooraf ging</w:t>
      </w:r>
      <w:r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br/>
      </w:r>
      <w:r w:rsidR="00EF06DD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Tegelijkertijd met de ontwikkeling van de groene examenprogramma's is Helicon gaan nadenken </w:t>
      </w:r>
      <w:r w:rsidR="0080724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over de vertaling van het nieuwe examenprogramma naar de </w:t>
      </w:r>
      <w:r w:rsidR="006B128A" w:rsidRPr="008A6C92">
        <w:rPr>
          <w:rFonts w:asciiTheme="minorHAnsi" w:eastAsiaTheme="minorHAnsi" w:hAnsiTheme="minorHAnsi" w:cstheme="minorBidi"/>
          <w:sz w:val="20"/>
          <w:lang w:eastAsia="en-US"/>
        </w:rPr>
        <w:t>onderwijs</w:t>
      </w:r>
      <w:r w:rsidR="0080724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praktijk en </w:t>
      </w:r>
      <w:r w:rsidR="00EF06DD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vooral ook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over </w:t>
      </w:r>
      <w:r w:rsidR="0080724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hoe de verschillende vestigingen onderling hun programma's meer zouden kunnen afstemmen. </w:t>
      </w:r>
      <w:r w:rsidR="00EF06DD" w:rsidRPr="008A6C92">
        <w:rPr>
          <w:rFonts w:asciiTheme="minorHAnsi" w:eastAsiaTheme="minorHAnsi" w:hAnsiTheme="minorHAnsi" w:cstheme="minorBidi"/>
          <w:sz w:val="20"/>
          <w:lang w:eastAsia="en-US"/>
        </w:rPr>
        <w:t>Naast de vestiging in Nijmegen heeft Helicon vmbo-opleidingen in Eindhoven</w:t>
      </w:r>
      <w:r w:rsidR="0080724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, Kesteren en Den Bosch. </w:t>
      </w:r>
    </w:p>
    <w:p w:rsidR="0084345F" w:rsidRPr="008A6C92" w:rsidRDefault="00807247" w:rsidP="00536A4B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>In de oude programmastructuur was de onderlinge afstemming beperkt tot een jaarlijkse 'halen en brengen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>-dag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'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.</w:t>
      </w:r>
      <w:r w:rsidR="00EF06DD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Scholen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maakten hun eigen keuzes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over het onderwijs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Dit kwam onder andere tot uiting in roosters, lesmateriaal en lesactiviteiten. Tussen de vestigingen waren er grote verschillen. Daar is nu </w:t>
      </w:r>
      <w:r w:rsidR="001A6235" w:rsidRPr="008A6C92">
        <w:rPr>
          <w:rFonts w:asciiTheme="minorHAnsi" w:eastAsiaTheme="minorHAnsi" w:hAnsiTheme="minorHAnsi" w:cstheme="minorBidi"/>
          <w:sz w:val="20"/>
          <w:lang w:eastAsia="en-US"/>
        </w:rPr>
        <w:t>dankzij een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opdracht vanuit het bestuur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verandering in gekomen.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Er werd een projectstructuur ingericht met een overkoepelende </w:t>
      </w:r>
      <w:r w:rsidR="001A6235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coördinator als aanspreekpunt en een coördinator per 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>vestiging</w:t>
      </w:r>
      <w:r w:rsidR="001A6235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Regelmatig vond er terugkoppeling naar directie en bestuur plaats.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Met elkaar zijn de vier </w:t>
      </w:r>
      <w:r w:rsidR="006B12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scholen 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aan de slag gegaan </w:t>
      </w:r>
      <w:r w:rsidR="00F50517">
        <w:rPr>
          <w:rFonts w:asciiTheme="minorHAnsi" w:eastAsiaTheme="minorHAnsi" w:hAnsiTheme="minorHAnsi" w:cstheme="minorBidi"/>
          <w:sz w:val="20"/>
          <w:lang w:eastAsia="en-US"/>
        </w:rPr>
        <w:t xml:space="preserve">met het lesprogramma, de opbouw van het jaar, het aantal uren, het aanbod van keuzevakken, hoe samen te werken met bedrijven en 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met het schrijven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>en/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>of samenstellen van lesmateriaal voor de keuzevakken. Er werden acht thema</w:t>
      </w:r>
      <w:r w:rsidR="00F50517">
        <w:rPr>
          <w:rFonts w:asciiTheme="minorHAnsi" w:eastAsiaTheme="minorHAnsi" w:hAnsiTheme="minorHAnsi" w:cstheme="minorBidi"/>
          <w:sz w:val="20"/>
          <w:lang w:eastAsia="en-US"/>
        </w:rPr>
        <w:t>’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>s aangewezenen acht schrijfgroepen ingericht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waarbij v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eel docenten betrokken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zijn 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geweest.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Met een 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afvaardiging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van elke vestiging per schrijfgroep, vond het schrijven onder meer plaats tijdens de vier </w:t>
      </w:r>
      <w:r w:rsidR="0076198A" w:rsidRPr="00BD0ABE">
        <w:rPr>
          <w:rFonts w:asciiTheme="minorHAnsi" w:eastAsiaTheme="minorHAnsi" w:hAnsiTheme="minorHAnsi" w:cstheme="minorBidi"/>
          <w:sz w:val="20"/>
          <w:lang w:eastAsia="en-US"/>
        </w:rPr>
        <w:t>schrijfgroependag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>en.</w:t>
      </w:r>
      <w:r w:rsidR="0084345F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Docenten werden hiervoor gefaciliteerd. Het eerste gebruik van het materiaal zal 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>geëvalueerd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worden. Waar nodig wordt het materiaal bijgesteld. 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>Voor de profielmodules wordt gebruik gemaakt van het materiaal van het Ontwikkelcentrum.</w:t>
      </w:r>
    </w:p>
    <w:p w:rsidR="007B4B35" w:rsidRPr="008A6C92" w:rsidRDefault="001A6235" w:rsidP="00536A4B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Dankzij de goede 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en intensieve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samenwerking ligt er 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nu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een samenhangend Helicon</w:t>
      </w:r>
      <w:r w:rsidR="006B128A" w:rsidRPr="008A6C92">
        <w:rPr>
          <w:rFonts w:asciiTheme="minorHAnsi" w:eastAsiaTheme="minorHAnsi" w:hAnsiTheme="minorHAnsi" w:cstheme="minorBidi"/>
          <w:sz w:val="20"/>
          <w:lang w:eastAsia="en-US"/>
        </w:rPr>
        <w:t>-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overstijgend </w:t>
      </w:r>
      <w:r w:rsidR="006B128A" w:rsidRPr="008A6C92">
        <w:rPr>
          <w:rFonts w:asciiTheme="minorHAnsi" w:eastAsiaTheme="minorHAnsi" w:hAnsiTheme="minorHAnsi" w:cstheme="minorBidi"/>
          <w:sz w:val="20"/>
          <w:lang w:eastAsia="en-US"/>
        </w:rPr>
        <w:t>onderwijs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programma</w:t>
      </w:r>
      <w:r w:rsidR="008A6C92" w:rsidRPr="008A6C92">
        <w:rPr>
          <w:rFonts w:asciiTheme="minorHAnsi" w:eastAsiaTheme="minorHAnsi" w:hAnsiTheme="minorHAnsi" w:cstheme="minorBidi"/>
          <w:sz w:val="20"/>
          <w:lang w:eastAsia="en-US"/>
        </w:rPr>
        <w:t>.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Er is lesmateriaal ontwikkeld voor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dier, groen, bloem, voeding, techniek, outdoor</w:t>
      </w:r>
      <w:r w:rsidR="0076198A" w:rsidRPr="008A6C92">
        <w:rPr>
          <w:rFonts w:asciiTheme="minorHAnsi" w:eastAsiaTheme="minorHAnsi" w:hAnsiTheme="minorHAnsi" w:cstheme="minorBidi"/>
          <w:sz w:val="20"/>
          <w:lang w:eastAsia="en-US"/>
        </w:rPr>
        <w:t>, stage en LOB.</w:t>
      </w:r>
    </w:p>
    <w:p w:rsidR="00861DC7" w:rsidRPr="008A6C92" w:rsidRDefault="00861DC7" w:rsidP="00536A4B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861DC7" w:rsidRPr="008A6C92" w:rsidRDefault="00861DC7" w:rsidP="00536A4B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Karakteristiek van de school</w:t>
      </w:r>
    </w:p>
    <w:p w:rsidR="00861DC7" w:rsidRPr="008A6C92" w:rsidRDefault="00861DC7" w:rsidP="00536A4B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De doelgroep van de Helicon vmbo-opleiding in Nijmegen bestaat deels uit leerlingen uit de stad en deels uit leerlingen die uit de omliggende dorpen komen. Sommige leerlingen fietsen 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dagelijks 15 tot 20 kilometer, of gaan met de bus naar school.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De school bestrijkt daarmee een groot gebied, waarbij de Waal een echte scheiding vormt. Onder de leerlingen bevinden zich leerlingen die echt geïnteresseerd zijn in groen, b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ij een hoven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iersbedrijf willen werken of iets met dieren willen doen. '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>Het nieuwe examenprogramma kwam als geroepen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en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geeft de mogelijkheid te verbreden en te verdiepen.'</w:t>
      </w:r>
      <w:r w:rsidR="0048752D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CE028E">
        <w:rPr>
          <w:rFonts w:asciiTheme="minorHAnsi" w:eastAsiaTheme="minorHAnsi" w:hAnsiTheme="minorHAnsi" w:cstheme="minorBidi"/>
          <w:sz w:val="20"/>
          <w:lang w:eastAsia="en-US"/>
        </w:rPr>
        <w:t>De leerlingen uit de stad hebben</w:t>
      </w:r>
      <w:r w:rsidR="0048752D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CE028E">
        <w:rPr>
          <w:rFonts w:asciiTheme="minorHAnsi" w:eastAsiaTheme="minorHAnsi" w:hAnsiTheme="minorHAnsi" w:cstheme="minorBidi"/>
          <w:sz w:val="20"/>
          <w:lang w:eastAsia="en-US"/>
        </w:rPr>
        <w:t xml:space="preserve">minder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belangstelling voor het </w:t>
      </w:r>
      <w:r w:rsidR="007B4B35" w:rsidRPr="008A6C92">
        <w:rPr>
          <w:rFonts w:asciiTheme="minorHAnsi" w:eastAsiaTheme="minorHAnsi" w:hAnsiTheme="minorHAnsi" w:cstheme="minorBidi"/>
          <w:sz w:val="20"/>
          <w:lang w:eastAsia="en-US"/>
        </w:rPr>
        <w:t>landbouw brede programma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dat op de school aangeboden werd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M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et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het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F50517">
        <w:rPr>
          <w:rFonts w:asciiTheme="minorHAnsi" w:eastAsiaTheme="minorHAnsi" w:hAnsiTheme="minorHAnsi" w:cstheme="minorBidi"/>
          <w:sz w:val="20"/>
          <w:lang w:eastAsia="en-US"/>
        </w:rPr>
        <w:t xml:space="preserve">in de toekomst 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>teruglopend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>e</w:t>
      </w:r>
      <w:r w:rsidR="00C9752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leerlingenaantal grijpt de school de vernieuwing van de beroepsgerichte programma's aan zich te profileren.</w:t>
      </w:r>
    </w:p>
    <w:p w:rsidR="0048752D" w:rsidRPr="008A6C92" w:rsidRDefault="0048752D" w:rsidP="00536A4B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861DC7" w:rsidRPr="008A6C92" w:rsidRDefault="0048752D" w:rsidP="00536A4B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Helicon Nijmegen ligt temidden van een lichtgroene oase. In de onderwijspraktijk zijn leerlingen actief in het onderhoud van 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de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planten en dieren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in de oase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. De school is daarnaast actief op diverse maatschappelijke thema's.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Nu al excellerend op het thema burgerschap wordt vanaf volgend schooljaar burgerschap als vak aangeboden. Er is een schoolbrede visie op respect en omgaan met 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lastRenderedPageBreak/>
        <w:t>elkaar</w:t>
      </w:r>
      <w:r w:rsidR="00861DC7" w:rsidRPr="00861DC7">
        <w:rPr>
          <w:rFonts w:asciiTheme="minorHAnsi" w:eastAsiaTheme="minorHAnsi" w:hAnsiTheme="minorHAnsi" w:cstheme="minorBidi"/>
          <w:sz w:val="20"/>
          <w:lang w:eastAsia="en-US"/>
        </w:rPr>
        <w:t xml:space="preserve">. 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>In dat kader wordt er aandacht besteed aan p</w:t>
      </w:r>
      <w:r w:rsidR="00861DC7" w:rsidRPr="00861DC7">
        <w:rPr>
          <w:rFonts w:asciiTheme="minorHAnsi" w:eastAsiaTheme="minorHAnsi" w:hAnsiTheme="minorHAnsi" w:cstheme="minorBidi"/>
          <w:sz w:val="20"/>
          <w:lang w:eastAsia="en-US"/>
        </w:rPr>
        <w:t>esten.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CE028E">
        <w:rPr>
          <w:rFonts w:asciiTheme="minorHAnsi" w:eastAsiaTheme="minorHAnsi" w:hAnsiTheme="minorHAnsi" w:cstheme="minorBidi"/>
          <w:sz w:val="20"/>
          <w:lang w:eastAsia="en-US"/>
        </w:rPr>
        <w:t>Er worden allerlei projecten opgezet om eco-school te worden. Zo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houdt de school bijen en is er een vl</w:t>
      </w:r>
      <w:r w:rsidR="00861DC7" w:rsidRPr="00861DC7">
        <w:rPr>
          <w:rFonts w:asciiTheme="minorHAnsi" w:eastAsiaTheme="minorHAnsi" w:hAnsiTheme="minorHAnsi" w:cstheme="minorBidi"/>
          <w:sz w:val="20"/>
          <w:lang w:eastAsia="en-US"/>
        </w:rPr>
        <w:t xml:space="preserve">indertuin </w:t>
      </w:r>
      <w:r w:rsidR="00536A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aangelegd. </w:t>
      </w:r>
      <w:r w:rsidR="00861DC7" w:rsidRPr="00861DC7">
        <w:rPr>
          <w:rFonts w:asciiTheme="minorHAnsi" w:eastAsiaTheme="minorHAnsi" w:hAnsiTheme="minorHAnsi" w:cstheme="minorBidi"/>
          <w:sz w:val="20"/>
          <w:lang w:eastAsia="en-US"/>
        </w:rPr>
        <w:t xml:space="preserve">  </w:t>
      </w:r>
    </w:p>
    <w:p w:rsidR="00172B81" w:rsidRPr="00861DC7" w:rsidRDefault="00172B81" w:rsidP="00536A4B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8D157E" w:rsidRPr="008A6C92" w:rsidRDefault="00C97527" w:rsidP="00C97527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 xml:space="preserve">Het huidig aanbod </w:t>
      </w:r>
      <w:r w:rsidR="008D157E"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en de organisatie</w:t>
      </w:r>
    </w:p>
    <w:p w:rsidR="00172B81" w:rsidRPr="008A6C92" w:rsidRDefault="0051750F" w:rsidP="00C97527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Het huidige programma voor leerjaar 3 en leerjaar 4 </w:t>
      </w:r>
      <w:r w:rsidR="00D513DC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(bb/kb) 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>bestaat uit vier profielmodules, vier keuzevakken, stage en het loopbaandossier</w:t>
      </w:r>
      <w:r w:rsidR="002650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Het programma heeft een omvang van elf </w:t>
      </w:r>
      <w:r w:rsidR="00ED4CCD">
        <w:rPr>
          <w:rFonts w:asciiTheme="minorHAnsi" w:eastAsiaTheme="minorHAnsi" w:hAnsiTheme="minorHAnsi" w:cstheme="minorBidi"/>
          <w:sz w:val="20"/>
          <w:lang w:eastAsia="en-US"/>
        </w:rPr>
        <w:t>les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>u</w:t>
      </w:r>
      <w:r w:rsidR="00BA38B4">
        <w:rPr>
          <w:rFonts w:asciiTheme="minorHAnsi" w:eastAsiaTheme="minorHAnsi" w:hAnsiTheme="minorHAnsi" w:cstheme="minorBidi"/>
          <w:sz w:val="20"/>
          <w:lang w:eastAsia="en-US"/>
        </w:rPr>
        <w:t xml:space="preserve">ren 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>per week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Een 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lesuur </w:t>
      </w:r>
      <w:r w:rsidR="00D513DC" w:rsidRPr="008A6C92">
        <w:rPr>
          <w:rFonts w:asciiTheme="minorHAnsi" w:eastAsiaTheme="minorHAnsi" w:hAnsiTheme="minorHAnsi" w:cstheme="minorBidi"/>
          <w:sz w:val="20"/>
          <w:lang w:eastAsia="en-US"/>
        </w:rPr>
        <w:t>bestaat uit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45 minuten</w:t>
      </w:r>
      <w:r w:rsidR="0026504B" w:rsidRPr="008A6C92">
        <w:rPr>
          <w:rFonts w:asciiTheme="minorHAnsi" w:eastAsiaTheme="minorHAnsi" w:hAnsiTheme="minorHAnsi" w:cstheme="minorBidi"/>
          <w:sz w:val="20"/>
          <w:lang w:eastAsia="en-US"/>
        </w:rPr>
        <w:t>, er wordt gewerkt in blokuren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>.</w:t>
      </w:r>
      <w:r w:rsidR="0026504B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Elke week werken leerlingen </w:t>
      </w:r>
      <w:r w:rsidR="008D157E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in zowel leerjaar 3 als leerjaar 4 aan de profielmodulen, de </w:t>
      </w:r>
      <w:r w:rsidR="0026504B" w:rsidRPr="008A6C92">
        <w:rPr>
          <w:rFonts w:asciiTheme="minorHAnsi" w:eastAsiaTheme="minorHAnsi" w:hAnsiTheme="minorHAnsi" w:cstheme="minorBidi"/>
          <w:sz w:val="20"/>
          <w:lang w:eastAsia="en-US"/>
        </w:rPr>
        <w:t>keuzevakken</w:t>
      </w:r>
      <w:r w:rsidR="008D157E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of gaan in het kader van LOB op stage. 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De profielmodules worden aangeboden in praktijkgroepen van </w:t>
      </w:r>
      <w:r w:rsidR="00ED4CCD">
        <w:rPr>
          <w:rFonts w:asciiTheme="minorHAnsi" w:eastAsiaTheme="minorHAnsi" w:hAnsiTheme="minorHAnsi" w:cstheme="minorBidi"/>
          <w:sz w:val="20"/>
          <w:lang w:eastAsia="en-US"/>
        </w:rPr>
        <w:t xml:space="preserve">maximaal 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18 leerlingen van hetzelfde niveau. In de keuzevakken 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>zijn de leerlingen gemixt en wordt er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gedifferentieerd gewerkt</w:t>
      </w:r>
      <w:r w:rsidR="00ED4CCD">
        <w:rPr>
          <w:rFonts w:asciiTheme="minorHAnsi" w:eastAsiaTheme="minorHAnsi" w:hAnsiTheme="minorHAnsi" w:cstheme="minorBidi"/>
          <w:sz w:val="20"/>
          <w:lang w:eastAsia="en-US"/>
        </w:rPr>
        <w:t xml:space="preserve"> in groepen van maximaal 18 leerlingen</w:t>
      </w:r>
      <w:r w:rsidR="001A7631" w:rsidRPr="008A6C92">
        <w:rPr>
          <w:rFonts w:asciiTheme="minorHAnsi" w:eastAsiaTheme="minorHAnsi" w:hAnsiTheme="minorHAnsi" w:cstheme="minorBidi"/>
          <w:sz w:val="20"/>
          <w:lang w:eastAsia="en-US"/>
        </w:rPr>
        <w:t>.</w:t>
      </w:r>
      <w:r w:rsidR="00172B81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D513DC" w:rsidRPr="008A6C92" w:rsidRDefault="00D513DC" w:rsidP="00C97527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D513DC" w:rsidRPr="008A6C92" w:rsidRDefault="00D513DC" w:rsidP="00C97527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>De vier keuzevakken - twee voor gl-leerlingen - worden verdeeld over de twee leerjaren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.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De vestiging bepaalt het aanbod van de keuzevakken afhankelijk van de menskracht en faciliteiten. De leerling maakt een keuze uit het aanbod. </w:t>
      </w:r>
      <w:r w:rsidR="00ED4CCD">
        <w:rPr>
          <w:rFonts w:asciiTheme="minorHAnsi" w:eastAsiaTheme="minorHAnsi" w:hAnsiTheme="minorHAnsi" w:cstheme="minorBidi"/>
          <w:sz w:val="20"/>
          <w:lang w:eastAsia="en-US"/>
        </w:rPr>
        <w:t xml:space="preserve">In de onderbouw wordt gewerkt met praktische sector oriëntatie (PSO), waarbij leerlingen halverwege leerjaar 2 uit de 6 groene thema’s al een preselectie maken.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Eind leerjaar twee maakt de leerling een </w:t>
      </w:r>
      <w:r w:rsidR="00ED4CCD">
        <w:rPr>
          <w:rFonts w:asciiTheme="minorHAnsi" w:eastAsiaTheme="minorHAnsi" w:hAnsiTheme="minorHAnsi" w:cstheme="minorBidi"/>
          <w:sz w:val="20"/>
          <w:lang w:eastAsia="en-US"/>
        </w:rPr>
        <w:t xml:space="preserve">definitieve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keuze en prioriteert de keuze. Leerlingen worden </w:t>
      </w:r>
      <w:r w:rsidR="000E7117" w:rsidRPr="008A6C92">
        <w:rPr>
          <w:rFonts w:asciiTheme="minorHAnsi" w:eastAsiaTheme="minorHAnsi" w:hAnsiTheme="minorHAnsi" w:cstheme="minorBidi"/>
          <w:sz w:val="20"/>
          <w:lang w:eastAsia="en-US"/>
        </w:rPr>
        <w:t xml:space="preserve">door het aanbod van keuzevakken ter verbreding gestimuleerd </w:t>
      </w:r>
      <w:r w:rsidRPr="008A6C92">
        <w:rPr>
          <w:rFonts w:asciiTheme="minorHAnsi" w:eastAsiaTheme="minorHAnsi" w:hAnsiTheme="minorHAnsi" w:cstheme="minorBidi"/>
          <w:sz w:val="20"/>
          <w:lang w:eastAsia="en-US"/>
        </w:rPr>
        <w:t>een uitstapje te maken naar een andere thema.</w:t>
      </w:r>
    </w:p>
    <w:p w:rsidR="00D513DC" w:rsidRPr="008A6C92" w:rsidRDefault="00D513DC" w:rsidP="00C97527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6504B" w:rsidRPr="008A6C92" w:rsidRDefault="0026504B" w:rsidP="00C97527">
      <w:pPr>
        <w:spacing w:line="276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8A6C92">
        <w:rPr>
          <w:rFonts w:asciiTheme="minorHAnsi" w:eastAsiaTheme="minorHAnsi" w:hAnsiTheme="minorHAnsi" w:cstheme="minorBidi"/>
          <w:sz w:val="20"/>
          <w:lang w:eastAsia="en-US"/>
        </w:rPr>
        <w:t>Het aanbod van keuzevakken in leerjaar 3 en leerjaar 4</w:t>
      </w: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1271"/>
        <w:gridCol w:w="2351"/>
        <w:gridCol w:w="2351"/>
        <w:gridCol w:w="2351"/>
      </w:tblGrid>
      <w:tr w:rsidR="0026504B" w:rsidRPr="00F053F3" w:rsidTr="000E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 xml:space="preserve">Thema </w:t>
            </w:r>
          </w:p>
        </w:tc>
        <w:tc>
          <w:tcPr>
            <w:tcW w:w="2351" w:type="dxa"/>
          </w:tcPr>
          <w:p w:rsidR="0026504B" w:rsidRPr="00F053F3" w:rsidRDefault="0026504B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Keuzevak leerjaar 3</w:t>
            </w:r>
          </w:p>
        </w:tc>
        <w:tc>
          <w:tcPr>
            <w:tcW w:w="2351" w:type="dxa"/>
          </w:tcPr>
          <w:p w:rsidR="0026504B" w:rsidRPr="00F053F3" w:rsidRDefault="0026504B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keuzevak leerjaar 4</w:t>
            </w:r>
          </w:p>
        </w:tc>
        <w:tc>
          <w:tcPr>
            <w:tcW w:w="2351" w:type="dxa"/>
          </w:tcPr>
          <w:p w:rsidR="0026504B" w:rsidRPr="00F053F3" w:rsidRDefault="0026504B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Keuzevak leerjaar 4</w:t>
            </w:r>
          </w:p>
        </w:tc>
      </w:tr>
      <w:tr w:rsidR="0026504B" w:rsidRPr="00F053F3" w:rsidTr="000E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Dier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Houden van dieren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Gezonde dieren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Groene zorg</w:t>
            </w:r>
          </w:p>
        </w:tc>
      </w:tr>
      <w:tr w:rsidR="0026504B" w:rsidRPr="00F053F3" w:rsidTr="000E7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Groen</w:t>
            </w: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Werk in tuin en landschap</w:t>
            </w:r>
          </w:p>
          <w:p w:rsidR="0026504B" w:rsidRPr="00F053F3" w:rsidRDefault="0026504B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Tuinontwerp – en aanleg</w:t>
            </w:r>
          </w:p>
          <w:p w:rsidR="0026504B" w:rsidRPr="00F053F3" w:rsidRDefault="0026504B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Groei en oogst</w:t>
            </w:r>
          </w:p>
        </w:tc>
      </w:tr>
      <w:tr w:rsidR="0026504B" w:rsidRPr="00F053F3" w:rsidTr="000E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Bloem</w:t>
            </w: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Bloemwerk</w:t>
            </w:r>
          </w:p>
          <w:p w:rsidR="0026504B" w:rsidRPr="00F053F3" w:rsidRDefault="0026504B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Groen vormgeving en styling</w:t>
            </w:r>
          </w:p>
          <w:p w:rsidR="0026504B" w:rsidRPr="00F053F3" w:rsidRDefault="0026504B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3d-vormgeving en –realisatie</w:t>
            </w:r>
          </w:p>
          <w:p w:rsidR="0026504B" w:rsidRPr="00F053F3" w:rsidRDefault="0026504B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</w:tr>
      <w:tr w:rsidR="0026504B" w:rsidRPr="00F053F3" w:rsidTr="000E7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Voeding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mens en gezondheid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Voeding: Hoe maak je het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Keuken</w:t>
            </w:r>
          </w:p>
        </w:tc>
      </w:tr>
      <w:tr w:rsidR="0026504B" w:rsidRPr="00F053F3" w:rsidTr="000E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Techniek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Procestechniek</w:t>
            </w:r>
          </w:p>
        </w:tc>
        <w:tc>
          <w:tcPr>
            <w:tcW w:w="2351" w:type="dxa"/>
          </w:tcPr>
          <w:p w:rsidR="00F053F3" w:rsidRPr="00F053F3" w:rsidRDefault="00F053F3" w:rsidP="00F053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Het groene machinepark</w:t>
            </w:r>
          </w:p>
          <w:p w:rsidR="0026504B" w:rsidRPr="00F053F3" w:rsidRDefault="0026504B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</w:p>
        </w:tc>
        <w:tc>
          <w:tcPr>
            <w:tcW w:w="2351" w:type="dxa"/>
          </w:tcPr>
          <w:p w:rsidR="0026504B" w:rsidRPr="000E7117" w:rsidRDefault="00F053F3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i/>
                <w:szCs w:val="18"/>
                <w:lang w:eastAsia="en-US"/>
              </w:rPr>
            </w:pPr>
            <w:r w:rsidRPr="000E7117">
              <w:rPr>
                <w:rFonts w:asciiTheme="minorHAnsi" w:eastAsiaTheme="minorHAnsi" w:hAnsiTheme="minorHAnsi" w:cstheme="minorBidi"/>
                <w:i/>
                <w:szCs w:val="18"/>
                <w:lang w:eastAsia="en-US"/>
              </w:rPr>
              <w:t>er is geen derde vak techniek</w:t>
            </w:r>
          </w:p>
        </w:tc>
      </w:tr>
      <w:tr w:rsidR="0026504B" w:rsidRPr="00F053F3" w:rsidTr="000E7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6504B" w:rsidRPr="00F053F3" w:rsidRDefault="0026504B" w:rsidP="00C97527">
            <w:pPr>
              <w:spacing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Outdoor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Mens en activiteit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evenementen</w:t>
            </w:r>
          </w:p>
        </w:tc>
        <w:tc>
          <w:tcPr>
            <w:tcW w:w="2351" w:type="dxa"/>
          </w:tcPr>
          <w:p w:rsidR="0026504B" w:rsidRPr="00F053F3" w:rsidRDefault="00F053F3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 w:rsidRPr="00F053F3">
              <w:rPr>
                <w:rFonts w:asciiTheme="minorHAnsi" w:eastAsiaTheme="minorHAnsi" w:hAnsiTheme="minorHAnsi" w:cstheme="minorBidi"/>
                <w:szCs w:val="18"/>
                <w:lang w:eastAsia="en-US"/>
              </w:rPr>
              <w:t>Actief in de natuur</w:t>
            </w:r>
          </w:p>
        </w:tc>
      </w:tr>
    </w:tbl>
    <w:p w:rsidR="0026504B" w:rsidRPr="00F053F3" w:rsidRDefault="0026504B" w:rsidP="0026504B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26504B" w:rsidRPr="008A6C92" w:rsidRDefault="008A6C92" w:rsidP="00C97527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8A6C92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Loopbaanoriëntatie en begeleiding (LOB)</w:t>
      </w:r>
    </w:p>
    <w:p w:rsidR="0026504B" w:rsidRDefault="008A6C92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Leerlingen gaan in het kader van LOB 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 xml:space="preserve">zowel in leerjaar 3 als in leerjaar 4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op stage. In het derde 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>leer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jaar 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 xml:space="preserve">omvat de </w:t>
      </w:r>
      <w:r w:rsidR="00ED4CCD">
        <w:rPr>
          <w:rFonts w:asciiTheme="minorHAnsi" w:eastAsiaTheme="minorHAnsi" w:hAnsiTheme="minorHAnsi" w:cstheme="minorBidi"/>
          <w:szCs w:val="18"/>
          <w:lang w:eastAsia="en-US"/>
        </w:rPr>
        <w:t xml:space="preserve">beroepsgerichte 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 xml:space="preserve">stage een dag per week gedurende een periode van 8 tot 10 weken en een stage van een week aan het eind van het jaar. </w:t>
      </w:r>
      <w:r w:rsidR="00ED4CCD">
        <w:rPr>
          <w:rFonts w:asciiTheme="minorHAnsi" w:eastAsiaTheme="minorHAnsi" w:hAnsiTheme="minorHAnsi" w:cstheme="minorBidi"/>
          <w:szCs w:val="18"/>
          <w:lang w:eastAsia="en-US"/>
        </w:rPr>
        <w:t>Aan het begin van het derde leerjaar is er een week maatschappelijke stage, welke ook lichtgroen ingekleurd kan worden door leerlingen.</w:t>
      </w:r>
      <w:r w:rsidR="00BA38B4">
        <w:rPr>
          <w:rFonts w:asciiTheme="minorHAnsi" w:eastAsiaTheme="minorHAnsi" w:hAnsiTheme="minorHAnsi" w:cstheme="minorBidi"/>
          <w:szCs w:val="18"/>
          <w:lang w:eastAsia="en-US"/>
        </w:rPr>
        <w:t xml:space="preserve"> In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 xml:space="preserve"> klas vier is de stage 1 dag per week. Voor kb</w:t>
      </w:r>
      <w:r w:rsidR="00CE028E">
        <w:rPr>
          <w:rFonts w:asciiTheme="minorHAnsi" w:eastAsiaTheme="minorHAnsi" w:hAnsiTheme="minorHAnsi" w:cstheme="minorBidi"/>
          <w:szCs w:val="18"/>
          <w:lang w:eastAsia="en-US"/>
        </w:rPr>
        <w:t>/gl</w:t>
      </w:r>
      <w:r w:rsidR="006675BE">
        <w:rPr>
          <w:rFonts w:asciiTheme="minorHAnsi" w:eastAsiaTheme="minorHAnsi" w:hAnsiTheme="minorHAnsi" w:cstheme="minorBidi"/>
          <w:szCs w:val="18"/>
          <w:lang w:eastAsia="en-US"/>
        </w:rPr>
        <w:t xml:space="preserve"> is dit gedurende een half jaar en voor bb is dit gedurende het hele jaar. </w:t>
      </w:r>
      <w:r w:rsidR="00A07787">
        <w:rPr>
          <w:rFonts w:asciiTheme="minorHAnsi" w:eastAsiaTheme="minorHAnsi" w:hAnsiTheme="minorHAnsi" w:cstheme="minorBidi"/>
          <w:szCs w:val="18"/>
          <w:lang w:eastAsia="en-US"/>
        </w:rPr>
        <w:t xml:space="preserve">In het bijbehorende opdrachtenboek staan een aantal verplichte opdrachten zoals stageverslagen en een aantal vrije opdrachten zoals </w:t>
      </w:r>
      <w:r w:rsidR="00F40139">
        <w:rPr>
          <w:rFonts w:asciiTheme="minorHAnsi" w:eastAsiaTheme="minorHAnsi" w:hAnsiTheme="minorHAnsi" w:cstheme="minorBidi"/>
          <w:szCs w:val="18"/>
          <w:lang w:eastAsia="en-US"/>
        </w:rPr>
        <w:t>bezoek aan het m</w:t>
      </w:r>
      <w:r w:rsidR="00A07787">
        <w:rPr>
          <w:rFonts w:asciiTheme="minorHAnsi" w:eastAsiaTheme="minorHAnsi" w:hAnsiTheme="minorHAnsi" w:cstheme="minorBidi"/>
          <w:szCs w:val="18"/>
          <w:lang w:eastAsia="en-US"/>
        </w:rPr>
        <w:t xml:space="preserve">bo. De leerling is eigenaar van het loopbaandossier en verzamelt bewijzen over de opdrachten. </w:t>
      </w:r>
      <w:r w:rsidR="0026504B" w:rsidRPr="00F053F3">
        <w:rPr>
          <w:rFonts w:asciiTheme="minorHAnsi" w:eastAsiaTheme="minorHAnsi" w:hAnsiTheme="minorHAnsi" w:cstheme="minorBidi"/>
          <w:szCs w:val="18"/>
          <w:lang w:eastAsia="en-US"/>
        </w:rPr>
        <w:t>De stage en het loopbaandossier zijn handelingsopdrachten en moeten naar behoren uitgevoerd zijn</w:t>
      </w:r>
      <w:r w:rsidR="00F40139">
        <w:rPr>
          <w:rFonts w:asciiTheme="minorHAnsi" w:eastAsiaTheme="minorHAnsi" w:hAnsiTheme="minorHAnsi" w:cstheme="minorBidi"/>
          <w:szCs w:val="18"/>
          <w:lang w:eastAsia="en-US"/>
        </w:rPr>
        <w:t>.</w:t>
      </w:r>
    </w:p>
    <w:p w:rsidR="00F40139" w:rsidRDefault="00ED4CCD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De school werkt binnen Magister met de elektronische leeromgeving (ELO) waar leerlingen hun LOB-opdrachten uploaden. De leerlingen zijn per klas verdeeld over de mentor en een coach die de LOB gesprekken voeren, opdrachten bekijken en beoordelen in de ELO. </w:t>
      </w:r>
    </w:p>
    <w:p w:rsidR="00ED4CCD" w:rsidRDefault="00ED4CCD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F40139" w:rsidRDefault="00F40139" w:rsidP="00C97527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F40139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Inhoud loopbaandossier leerjaren 3 en 4</w:t>
      </w:r>
    </w:p>
    <w:tbl>
      <w:tblPr>
        <w:tblStyle w:val="Rastertabel5donker-Accent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971"/>
        <w:gridCol w:w="972"/>
        <w:gridCol w:w="972"/>
        <w:gridCol w:w="1161"/>
      </w:tblGrid>
      <w:tr w:rsidR="00F40139" w:rsidRPr="00F40139" w:rsidTr="00214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40139" w:rsidRPr="00F40139" w:rsidRDefault="00F40139" w:rsidP="00C97527">
            <w:pPr>
              <w:spacing w:line="276" w:lineRule="auto"/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</w:pPr>
            <w:r w:rsidRPr="00F40139"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  <w:lastRenderedPageBreak/>
              <w:t>activiteit</w:t>
            </w:r>
          </w:p>
        </w:tc>
        <w:tc>
          <w:tcPr>
            <w:tcW w:w="971" w:type="dxa"/>
          </w:tcPr>
          <w:p w:rsidR="00F40139" w:rsidRPr="00F40139" w:rsidRDefault="00F40139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</w:pPr>
            <w:r w:rsidRPr="00F40139"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  <w:t>verplicht</w:t>
            </w:r>
          </w:p>
        </w:tc>
        <w:tc>
          <w:tcPr>
            <w:tcW w:w="972" w:type="dxa"/>
          </w:tcPr>
          <w:p w:rsidR="00F40139" w:rsidRPr="00F40139" w:rsidRDefault="00F40139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</w:pPr>
            <w:r w:rsidRPr="00F40139"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  <w:t>leerjaar 3</w:t>
            </w:r>
          </w:p>
        </w:tc>
        <w:tc>
          <w:tcPr>
            <w:tcW w:w="972" w:type="dxa"/>
          </w:tcPr>
          <w:p w:rsidR="00F40139" w:rsidRPr="00F40139" w:rsidRDefault="00F40139" w:rsidP="00C975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</w:pPr>
            <w:r w:rsidRPr="00F40139"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  <w:t>leerjaar 4</w:t>
            </w:r>
          </w:p>
        </w:tc>
        <w:tc>
          <w:tcPr>
            <w:tcW w:w="1161" w:type="dxa"/>
          </w:tcPr>
          <w:p w:rsidR="00F40139" w:rsidRPr="00F40139" w:rsidRDefault="00F40139" w:rsidP="00F401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</w:pPr>
            <w:r w:rsidRPr="00F40139">
              <w:rPr>
                <w:rFonts w:asciiTheme="minorHAnsi" w:eastAsiaTheme="majorEastAsia" w:hAnsiTheme="minorHAnsi" w:cstheme="majorBidi"/>
                <w:color w:val="auto"/>
                <w:szCs w:val="18"/>
                <w:lang w:eastAsia="en-US"/>
              </w:rPr>
              <w:t>aantal documenten</w:t>
            </w:r>
          </w:p>
        </w:tc>
      </w:tr>
      <w:tr w:rsidR="00F40139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40139" w:rsidRPr="00214335" w:rsidRDefault="00F40139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terugblik leerjaar 1 en 2 / 3</w:t>
            </w:r>
          </w:p>
        </w:tc>
        <w:tc>
          <w:tcPr>
            <w:tcW w:w="971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F40139" w:rsidRPr="00F40139" w:rsidRDefault="00F40139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startgesprek LOB (2x)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2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vervolg LOB-gesprek (min 2x) en reflectie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min.2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beroepskeuzetest en reflectie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bezoek bedrijf en reflectie (1x) (verslag)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 in 3 of 4</w:t>
            </w:r>
          </w:p>
        </w:tc>
      </w:tr>
      <w:tr w:rsidR="00F40139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40139" w:rsidRPr="00214335" w:rsidRDefault="00F40139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bijwonen gastles en reflectie 91x)</w:t>
            </w:r>
          </w:p>
        </w:tc>
        <w:tc>
          <w:tcPr>
            <w:tcW w:w="971" w:type="dxa"/>
          </w:tcPr>
          <w:p w:rsidR="00F40139" w:rsidRPr="00F40139" w:rsidRDefault="00214335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nee</w:t>
            </w:r>
          </w:p>
        </w:tc>
        <w:tc>
          <w:tcPr>
            <w:tcW w:w="972" w:type="dxa"/>
          </w:tcPr>
          <w:p w:rsidR="00F40139" w:rsidRPr="00F40139" w:rsidRDefault="00214335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F40139" w:rsidRPr="00F40139" w:rsidRDefault="00214335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F40139" w:rsidRPr="00F40139" w:rsidRDefault="00214335" w:rsidP="00C975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 keuze</w:t>
            </w:r>
          </w:p>
        </w:tc>
      </w:tr>
      <w:tr w:rsidR="00F40139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40139" w:rsidRPr="00214335" w:rsidRDefault="00F40139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interview beroepsbeoefenaar en reflectie (1x)</w:t>
            </w:r>
          </w:p>
        </w:tc>
        <w:tc>
          <w:tcPr>
            <w:tcW w:w="971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nee</w:t>
            </w:r>
          </w:p>
        </w:tc>
        <w:tc>
          <w:tcPr>
            <w:tcW w:w="972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F40139" w:rsidRPr="00F40139" w:rsidRDefault="00214335" w:rsidP="00C975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F40139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 keuze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bezoek open dag en reflectie (1x)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bezoek voorlichtingsavond en reflectie (1x)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nee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 keuze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deelname meeloopdag en reflectie (1x)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digitaal doorstroomdossier (1x)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deelname beroepsstage en reflectie (3x /2x gt)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2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motivatie, deelname en evaluatie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les motieven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les kwaliteiten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les werkexploratie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les loopbaansturing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les netwerken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</w:t>
            </w:r>
          </w:p>
        </w:tc>
      </w:tr>
      <w:tr w:rsidR="00214335" w:rsidRPr="00F40139" w:rsidTr="0021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gl: sectorwerkstuk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ja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1 (gl)</w:t>
            </w:r>
          </w:p>
        </w:tc>
      </w:tr>
      <w:tr w:rsidR="00214335" w:rsidRPr="00F40139" w:rsidTr="0021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335" w:rsidRPr="00214335" w:rsidRDefault="00214335" w:rsidP="0021433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 w:rsidRPr="00214335"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extra activiteit b.v. voor plusdocument</w:t>
            </w:r>
          </w:p>
        </w:tc>
        <w:tc>
          <w:tcPr>
            <w:tcW w:w="97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nee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972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  <w:r>
              <w:rPr>
                <w:rFonts w:asciiTheme="minorHAnsi" w:eastAsiaTheme="majorEastAsia" w:hAnsiTheme="minorHAnsi" w:cstheme="majorBidi"/>
                <w:szCs w:val="18"/>
                <w:lang w:eastAsia="en-US"/>
              </w:rPr>
              <w:t>x</w:t>
            </w:r>
          </w:p>
        </w:tc>
        <w:tc>
          <w:tcPr>
            <w:tcW w:w="1161" w:type="dxa"/>
          </w:tcPr>
          <w:p w:rsidR="00214335" w:rsidRPr="00F40139" w:rsidRDefault="00214335" w:rsidP="002143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Cs w:val="18"/>
                <w:lang w:eastAsia="en-US"/>
              </w:rPr>
            </w:pPr>
          </w:p>
        </w:tc>
      </w:tr>
    </w:tbl>
    <w:p w:rsidR="006D6727" w:rsidRDefault="006D6727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214335" w:rsidRDefault="00214335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 w:rsidRPr="00214335">
        <w:rPr>
          <w:rFonts w:asciiTheme="minorHAnsi" w:eastAsiaTheme="minorHAnsi" w:hAnsiTheme="minorHAnsi" w:cstheme="minorBidi"/>
          <w:szCs w:val="18"/>
          <w:lang w:eastAsia="en-US"/>
        </w:rPr>
        <w:t>Bb en kb-leerlingen verzamelen minimaal 19 documenten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 voor het loopbaandossier.</w:t>
      </w:r>
      <w:r w:rsidR="00ED4CCD">
        <w:rPr>
          <w:rFonts w:asciiTheme="minorHAnsi" w:eastAsiaTheme="minorHAnsi" w:hAnsiTheme="minorHAnsi" w:cstheme="minorBidi"/>
          <w:szCs w:val="18"/>
          <w:lang w:eastAsia="en-US"/>
        </w:rPr>
        <w:t xml:space="preserve"> </w:t>
      </w:r>
      <w:r w:rsidRPr="00214335">
        <w:rPr>
          <w:rFonts w:asciiTheme="minorHAnsi" w:eastAsiaTheme="minorHAnsi" w:hAnsiTheme="minorHAnsi" w:cstheme="minorBidi"/>
          <w:szCs w:val="18"/>
          <w:lang w:eastAsia="en-US"/>
        </w:rPr>
        <w:t xml:space="preserve">Gl-leerlingen verzamelen 20 documenten </w:t>
      </w:r>
      <w:r>
        <w:rPr>
          <w:rFonts w:asciiTheme="minorHAnsi" w:eastAsiaTheme="minorHAnsi" w:hAnsiTheme="minorHAnsi" w:cstheme="minorBidi"/>
          <w:szCs w:val="18"/>
          <w:lang w:eastAsia="en-US"/>
        </w:rPr>
        <w:t>voor het loopbaandossier.</w:t>
      </w:r>
    </w:p>
    <w:p w:rsidR="00214335" w:rsidRDefault="00214335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48356B" w:rsidRPr="00946494" w:rsidRDefault="00214335" w:rsidP="00C97527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48356B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 xml:space="preserve">PTA – LOB </w:t>
      </w:r>
      <w:r w:rsidR="00946494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(</w:t>
      </w:r>
      <w:r w:rsidR="00946494" w:rsidRPr="00946494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leerjaar 3 kb)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"/>
        <w:gridCol w:w="742"/>
        <w:gridCol w:w="1261"/>
        <w:gridCol w:w="1543"/>
        <w:gridCol w:w="873"/>
        <w:gridCol w:w="894"/>
        <w:gridCol w:w="750"/>
        <w:gridCol w:w="928"/>
        <w:gridCol w:w="811"/>
      </w:tblGrid>
      <w:tr w:rsidR="0048356B" w:rsidRPr="0048356B" w:rsidTr="0048356B">
        <w:tc>
          <w:tcPr>
            <w:tcW w:w="924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PTA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exameneenheid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leerstofomschrijving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toetscode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toetsvorm</w:t>
            </w:r>
          </w:p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toetsduur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gewicht toets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herkans</w:t>
            </w: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ing </w:t>
            </w:r>
          </w:p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ja/nee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resultaat</w:t>
            </w:r>
          </w:p>
        </w:tc>
      </w:tr>
      <w:tr w:rsidR="0048356B" w:rsidRPr="0048356B" w:rsidTr="0048356B">
        <w:tc>
          <w:tcPr>
            <w:tcW w:w="924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en 2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C1; C2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LOB-dossier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lob3K1N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nvt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nvt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48356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ja</w:t>
            </w:r>
          </w:p>
        </w:tc>
        <w:tc>
          <w:tcPr>
            <w:tcW w:w="925" w:type="dxa"/>
          </w:tcPr>
          <w:p w:rsidR="0048356B" w:rsidRPr="0048356B" w:rsidRDefault="0048356B" w:rsidP="00C97527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48356B" w:rsidRDefault="0048356B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B710F6" w:rsidRDefault="00B710F6" w:rsidP="00C97527">
      <w:p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</w:p>
    <w:p w:rsidR="00B710F6" w:rsidRDefault="00B710F6" w:rsidP="00B710F6">
      <w:p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B710F6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t>Tips bij de ontwikkeling van het onderwijsprogramma</w:t>
      </w:r>
    </w:p>
    <w:p w:rsidR="00B710F6" w:rsidRDefault="00B710F6" w:rsidP="00B710F6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>Zorg dat het management tijd en geld vrijmaakt.</w:t>
      </w:r>
    </w:p>
    <w:p w:rsidR="00B710F6" w:rsidRDefault="00B710F6" w:rsidP="00B710F6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Bepaal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met een voorbereidingsgroep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de grote lijnen. Bespreek wie, wat, waar, wanneer gaat doen. Heb het met elkaar over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de vorm,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de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organisatie en de inhoud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 van de ontwikkelbijeenkomsten. </w:t>
      </w:r>
    </w:p>
    <w:p w:rsidR="00DB249A" w:rsidRPr="00B710F6" w:rsidRDefault="00DB249A" w:rsidP="00DB249A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Zorg dat de kaders duidelijk zijn en iedereen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weet </w:t>
      </w:r>
      <w:r>
        <w:rPr>
          <w:rFonts w:asciiTheme="minorHAnsi" w:eastAsiaTheme="minorHAnsi" w:hAnsiTheme="minorHAnsi" w:cstheme="minorBidi"/>
          <w:szCs w:val="18"/>
          <w:lang w:eastAsia="en-US"/>
        </w:rPr>
        <w:t>wat de doelen zijn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.</w:t>
      </w:r>
    </w:p>
    <w:p w:rsidR="00DB249A" w:rsidRPr="00B710F6" w:rsidRDefault="00DB249A" w:rsidP="00DB249A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Werk met een agenda waarop de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grote lijn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van de ontwikkel- en schrijfbijeenkomsten duidelijk is. Waak voor te veel details. Het geven van ruimte werkt stimulerend.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 </w:t>
      </w:r>
    </w:p>
    <w:p w:rsidR="00DB249A" w:rsidRDefault="00DB249A" w:rsidP="00DB249A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Zorg voor een heldere en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overzichtelijke digitale werkplek waar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iedereen bij kan,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 xml:space="preserve">er geen limiet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is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voor uploads.</w:t>
      </w:r>
    </w:p>
    <w:p w:rsidR="00DB249A" w:rsidRPr="00B710F6" w:rsidRDefault="00DB249A" w:rsidP="00DB249A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>M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aak (scho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oloverstijgende) vakgroepen. Zet bijvoorbeeld </w:t>
      </w:r>
      <w:r w:rsidRPr="00B710F6">
        <w:rPr>
          <w:rFonts w:asciiTheme="minorHAnsi" w:eastAsiaTheme="minorHAnsi" w:hAnsiTheme="minorHAnsi" w:cstheme="minorBidi"/>
          <w:szCs w:val="18"/>
          <w:lang w:eastAsia="en-US"/>
        </w:rPr>
        <w:t>alle docen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ten dier van alle vmbo-locaties </w:t>
      </w:r>
      <w:r>
        <w:rPr>
          <w:rFonts w:asciiTheme="minorHAnsi" w:eastAsiaTheme="minorHAnsi" w:hAnsiTheme="minorHAnsi" w:cstheme="minorBidi"/>
          <w:szCs w:val="18"/>
          <w:lang w:eastAsia="en-US"/>
        </w:rPr>
        <w:t>bijeen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 om samen lesmateriaal en toetsen te ontwerpen,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te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ontwikkelen, </w:t>
      </w:r>
      <w:r>
        <w:rPr>
          <w:rFonts w:asciiTheme="minorHAnsi" w:eastAsiaTheme="minorHAnsi" w:hAnsiTheme="minorHAnsi" w:cstheme="minorBidi"/>
          <w:szCs w:val="18"/>
          <w:lang w:eastAsia="en-US"/>
        </w:rPr>
        <w:t xml:space="preserve">te </w:t>
      </w:r>
      <w:r>
        <w:rPr>
          <w:rFonts w:asciiTheme="minorHAnsi" w:eastAsiaTheme="minorHAnsi" w:hAnsiTheme="minorHAnsi" w:cstheme="minorBidi"/>
          <w:szCs w:val="18"/>
          <w:lang w:eastAsia="en-US"/>
        </w:rPr>
        <w:t>schrijven of samen te stellen.</w:t>
      </w:r>
    </w:p>
    <w:p w:rsidR="00DB249A" w:rsidRPr="00B710F6" w:rsidRDefault="00DB249A" w:rsidP="00DB249A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szCs w:val="18"/>
          <w:lang w:eastAsia="en-US"/>
        </w:rPr>
      </w:pPr>
      <w:r>
        <w:rPr>
          <w:rFonts w:asciiTheme="minorHAnsi" w:eastAsiaTheme="minorHAnsi" w:hAnsiTheme="minorHAnsi" w:cstheme="minorBidi"/>
          <w:szCs w:val="18"/>
          <w:lang w:eastAsia="en-US"/>
        </w:rPr>
        <w:t xml:space="preserve">Behoud alle goede dingen die passen bij het nieuwe examenprogramma. </w:t>
      </w:r>
    </w:p>
    <w:p w:rsidR="00B710F6" w:rsidRPr="00DB249A" w:rsidRDefault="00B710F6" w:rsidP="007E1809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</w:pPr>
      <w:r w:rsidRPr="00DB249A">
        <w:rPr>
          <w:rFonts w:asciiTheme="minorHAnsi" w:eastAsiaTheme="minorHAnsi" w:hAnsiTheme="minorHAnsi" w:cstheme="minorBidi"/>
          <w:szCs w:val="18"/>
          <w:lang w:eastAsia="en-US"/>
        </w:rPr>
        <w:t>H</w:t>
      </w:r>
      <w:r w:rsidR="00DB249A" w:rsidRPr="00DB249A">
        <w:rPr>
          <w:rFonts w:asciiTheme="minorHAnsi" w:eastAsiaTheme="minorHAnsi" w:hAnsiTheme="minorHAnsi" w:cstheme="minorBidi"/>
          <w:szCs w:val="18"/>
          <w:lang w:eastAsia="en-US"/>
        </w:rPr>
        <w:t>ou</w:t>
      </w:r>
      <w:r w:rsidR="00DB249A">
        <w:rPr>
          <w:rFonts w:asciiTheme="minorHAnsi" w:eastAsiaTheme="minorHAnsi" w:hAnsiTheme="minorHAnsi" w:cstheme="minorBidi"/>
          <w:szCs w:val="18"/>
          <w:lang w:eastAsia="en-US"/>
        </w:rPr>
        <w:t>dt er vooral plezier in: n</w:t>
      </w:r>
      <w:r w:rsidR="00DB249A" w:rsidRPr="00DB249A">
        <w:rPr>
          <w:rFonts w:asciiTheme="minorHAnsi" w:eastAsiaTheme="minorHAnsi" w:hAnsiTheme="minorHAnsi" w:cstheme="minorBidi"/>
          <w:szCs w:val="18"/>
          <w:lang w:eastAsia="en-US"/>
        </w:rPr>
        <w:t xml:space="preserve">uttig samen een hapje en een drankje en blaas van tijd tot tijd stoom af.  </w:t>
      </w:r>
      <w:bookmarkStart w:id="0" w:name="_GoBack"/>
      <w:bookmarkEnd w:id="0"/>
      <w:r w:rsidRPr="00DB249A">
        <w:rPr>
          <w:rFonts w:asciiTheme="minorHAnsi" w:eastAsiaTheme="majorEastAsia" w:hAnsiTheme="minorHAnsi" w:cstheme="majorBidi"/>
          <w:color w:val="365F91" w:themeColor="accent1" w:themeShade="BF"/>
          <w:sz w:val="20"/>
          <w:lang w:eastAsia="en-US"/>
        </w:rPr>
        <w:br/>
      </w:r>
    </w:p>
    <w:sectPr w:rsidR="00B710F6" w:rsidRPr="00DB249A" w:rsidSect="00DD4603">
      <w:footerReference w:type="default" r:id="rId9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C3" w:rsidRDefault="00E13DC3">
      <w:r>
        <w:separator/>
      </w:r>
    </w:p>
  </w:endnote>
  <w:endnote w:type="continuationSeparator" w:id="0">
    <w:p w:rsidR="00E13DC3" w:rsidRDefault="00E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>B</w:t>
    </w:r>
    <w:r w:rsidR="00536A4B">
      <w:rPr>
        <w:rStyle w:val="Paginanummer"/>
      </w:rPr>
      <w:t xml:space="preserve">ron: </w:t>
    </w:r>
    <w:r w:rsidR="00536A4B" w:rsidRPr="00536A4B">
      <w:rPr>
        <w:rStyle w:val="Paginanummer"/>
      </w:rPr>
      <w:t>http://handreikingschoolexamen.slo.nl/groen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9D2A6E">
      <w:rPr>
        <w:rStyle w:val="Paginanummer"/>
        <w:noProof/>
      </w:rPr>
      <w:t>2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C3" w:rsidRDefault="00E13DC3">
      <w:r>
        <w:separator/>
      </w:r>
    </w:p>
  </w:footnote>
  <w:footnote w:type="continuationSeparator" w:id="0">
    <w:p w:rsidR="00E13DC3" w:rsidRDefault="00E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482"/>
    <w:multiLevelType w:val="hybridMultilevel"/>
    <w:tmpl w:val="9EFE0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FD2"/>
    <w:multiLevelType w:val="hybridMultilevel"/>
    <w:tmpl w:val="971C8B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0039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8544A7"/>
    <w:multiLevelType w:val="hybridMultilevel"/>
    <w:tmpl w:val="FFF89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0BE0"/>
    <w:multiLevelType w:val="hybridMultilevel"/>
    <w:tmpl w:val="6A48C7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E"/>
    <w:rsid w:val="000E7117"/>
    <w:rsid w:val="001179DE"/>
    <w:rsid w:val="00126740"/>
    <w:rsid w:val="001615E3"/>
    <w:rsid w:val="00172B81"/>
    <w:rsid w:val="001812B5"/>
    <w:rsid w:val="001A565A"/>
    <w:rsid w:val="001A6235"/>
    <w:rsid w:val="001A7631"/>
    <w:rsid w:val="00214335"/>
    <w:rsid w:val="00227972"/>
    <w:rsid w:val="00235D22"/>
    <w:rsid w:val="0026504B"/>
    <w:rsid w:val="003E0EA5"/>
    <w:rsid w:val="0048356B"/>
    <w:rsid w:val="0048752D"/>
    <w:rsid w:val="0051750F"/>
    <w:rsid w:val="00536A4B"/>
    <w:rsid w:val="005928CA"/>
    <w:rsid w:val="006675BE"/>
    <w:rsid w:val="006B128A"/>
    <w:rsid w:val="006D6727"/>
    <w:rsid w:val="00744C32"/>
    <w:rsid w:val="0076198A"/>
    <w:rsid w:val="00762834"/>
    <w:rsid w:val="007B4B35"/>
    <w:rsid w:val="007F016D"/>
    <w:rsid w:val="008038A1"/>
    <w:rsid w:val="00807247"/>
    <w:rsid w:val="0084345F"/>
    <w:rsid w:val="00861DC7"/>
    <w:rsid w:val="0088760E"/>
    <w:rsid w:val="00890B33"/>
    <w:rsid w:val="008A6C92"/>
    <w:rsid w:val="008D157E"/>
    <w:rsid w:val="008F58E9"/>
    <w:rsid w:val="00946494"/>
    <w:rsid w:val="00995FAA"/>
    <w:rsid w:val="009D2A6E"/>
    <w:rsid w:val="009D59F7"/>
    <w:rsid w:val="00A07787"/>
    <w:rsid w:val="00A62CF2"/>
    <w:rsid w:val="00B710F6"/>
    <w:rsid w:val="00BA38B4"/>
    <w:rsid w:val="00BD0ABE"/>
    <w:rsid w:val="00C97527"/>
    <w:rsid w:val="00CC3512"/>
    <w:rsid w:val="00CE028E"/>
    <w:rsid w:val="00D513DC"/>
    <w:rsid w:val="00DA50A2"/>
    <w:rsid w:val="00DB21B0"/>
    <w:rsid w:val="00DB249A"/>
    <w:rsid w:val="00DD4603"/>
    <w:rsid w:val="00E13DC3"/>
    <w:rsid w:val="00E51397"/>
    <w:rsid w:val="00ED4CCD"/>
    <w:rsid w:val="00EF06DD"/>
    <w:rsid w:val="00F053F3"/>
    <w:rsid w:val="00F40139"/>
    <w:rsid w:val="00F50517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0791EBE-4F6D-466E-BC48-B2112F2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BD0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BD0A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nhideWhenUsed/>
    <w:rsid w:val="00BD0AB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13DC"/>
    <w:pPr>
      <w:ind w:left="720"/>
      <w:contextualSpacing/>
    </w:pPr>
  </w:style>
  <w:style w:type="table" w:styleId="Tabelraster">
    <w:name w:val="Table Grid"/>
    <w:basedOn w:val="Standaardtabel"/>
    <w:rsid w:val="0026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0E71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allontekst">
    <w:name w:val="Balloon Text"/>
    <w:basedOn w:val="Standaard"/>
    <w:link w:val="BallontekstChar"/>
    <w:semiHidden/>
    <w:unhideWhenUsed/>
    <w:rsid w:val="008A6C92"/>
    <w:pPr>
      <w:spacing w:line="240" w:lineRule="auto"/>
    </w:pPr>
    <w:rPr>
      <w:rFonts w:cs="Arial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A6C92"/>
    <w:rPr>
      <w:rFonts w:ascii="Arial" w:hAnsi="Arial" w:cs="Arial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ED4CC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D4CC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D4CCD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D4C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D4CCD"/>
    <w:rPr>
      <w:rFonts w:ascii="Arial" w:hAnsi="Arial"/>
      <w:b/>
      <w:bCs/>
    </w:rPr>
  </w:style>
  <w:style w:type="paragraph" w:styleId="Normaalweb">
    <w:name w:val="Normal (Web)"/>
    <w:basedOn w:val="Standaard"/>
    <w:uiPriority w:val="99"/>
    <w:semiHidden/>
    <w:unhideWhenUsed/>
    <w:rsid w:val="00B710F6"/>
    <w:pPr>
      <w:overflowPunct/>
      <w:autoSpaceDE/>
      <w:autoSpaceDN/>
      <w:adjustRightInd/>
      <w:spacing w:line="240" w:lineRule="auto"/>
      <w:textAlignment w:val="auto"/>
    </w:pPr>
    <w:rPr>
      <w:rFonts w:eastAsiaTheme="minorHAnsi" w:cs="Arial"/>
      <w:sz w:val="20"/>
    </w:rPr>
  </w:style>
  <w:style w:type="character" w:styleId="Nadruk">
    <w:name w:val="Emphasis"/>
    <w:basedOn w:val="Standaardalinea-lettertype"/>
    <w:uiPriority w:val="20"/>
    <w:qFormat/>
    <w:rsid w:val="00B71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convmbonijmegen.nl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nieuwe beroepsgericht</RepProjectName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47XQ5P3E4USX-10-3898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TaxCatchAll xmlns="7106a2ac-038a-457f-8b58-ec67130d9d6d">
      <Value>187</Value>
      <Value>115</Value>
      <Value>596</Value>
      <Value>644</Value>
    </TaxCatchAll>
    <RepSummary xmlns="http://schemas.microsoft.com/sharepoint/v3" xsi:nil="true"/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Groen</TermName>
          <TermId xmlns="http://schemas.microsoft.com/office/infopath/2007/PartnerControls">1f4a5a9e-b8c1-4c8e-adb5-e54ff9f13a60</TermId>
        </TermInfo>
      </Terms>
    </RepSubjectContent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https://cms-downloads.slo.nl/_layouts/15/DocIdRedir.aspx?ID=47XQ5P3E4USX-10-3898</Url>
      <Description>47XQ5P3E4USX-10-3898</Description>
    </_dlc_DocIdUrl>
    <RepSectionSpecificTheme_0 xmlns="http://schemas.microsoft.com/sharepoint/v3">
      <Terms xmlns="http://schemas.microsoft.com/office/infopath/2007/PartnerControls"/>
    </RepSectionSpecificTheme_0>
  </documentManagement>
</p:properties>
</file>

<file path=customXml/itemProps1.xml><?xml version="1.0" encoding="utf-8"?>
<ds:datastoreItem xmlns:ds="http://schemas.openxmlformats.org/officeDocument/2006/customXml" ds:itemID="{551EC0E4-A799-4F55-959C-F4FA1427B2A5}"/>
</file>

<file path=customXml/itemProps2.xml><?xml version="1.0" encoding="utf-8"?>
<ds:datastoreItem xmlns:ds="http://schemas.openxmlformats.org/officeDocument/2006/customXml" ds:itemID="{DBEE3A02-46CE-4F72-80A4-56D7570B3BEA}"/>
</file>

<file path=customXml/itemProps3.xml><?xml version="1.0" encoding="utf-8"?>
<ds:datastoreItem xmlns:ds="http://schemas.openxmlformats.org/officeDocument/2006/customXml" ds:itemID="{A71ACE8C-44C5-4948-B7FB-60BA7B1ED2B8}"/>
</file>

<file path=customXml/itemProps4.xml><?xml version="1.0" encoding="utf-8"?>
<ds:datastoreItem xmlns:ds="http://schemas.openxmlformats.org/officeDocument/2006/customXml" ds:itemID="{F7DBFF32-614C-478E-BA8B-E9124C825439}"/>
</file>

<file path=customXml/itemProps5.xml><?xml version="1.0" encoding="utf-8"?>
<ds:datastoreItem xmlns:ds="http://schemas.openxmlformats.org/officeDocument/2006/customXml" ds:itemID="{230E0395-A0AD-454A-A31B-8E77197B827D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0</TotalTime>
  <Pages>3</Pages>
  <Words>1359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Viola van Lanschot Hubrecht</dc:creator>
  <cp:keywords/>
  <dc:description/>
  <cp:lastModifiedBy>Viola van Lanschot Hubrecht</cp:lastModifiedBy>
  <cp:revision>2</cp:revision>
  <cp:lastPrinted>2017-07-05T13:13:00Z</cp:lastPrinted>
  <dcterms:created xsi:type="dcterms:W3CDTF">2017-08-30T11:08:00Z</dcterms:created>
  <dcterms:modified xsi:type="dcterms:W3CDTF">2017-08-30T11:08:00Z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>115;#Beroepsgerichte vakken|c02d3ee2-408b-4a01-9bc8-4f1229189dda</vt:lpwstr>
  </property>
  <property fmtid="{D5CDD505-2E9C-101B-9397-08002B2CF9AE}" pid="10" name="_dlc_DocIdItemGuid">
    <vt:lpwstr>1db0fa77-e161-4309-a9b0-90baa2d7d446</vt:lpwstr>
  </property>
  <property fmtid="{D5CDD505-2E9C-101B-9397-08002B2CF9AE}" pid="11" name="RepSubjectContent">
    <vt:lpwstr>596;#Groen|1f4a5a9e-b8c1-4c8e-adb5-e54ff9f13a60</vt:lpwstr>
  </property>
  <property fmtid="{D5CDD505-2E9C-101B-9397-08002B2CF9AE}" pid="12" name="RepAuthor">
    <vt:lpwstr/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