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5A9" w:rsidRDefault="000865A9" w:rsidP="000865A9">
      <w:pPr>
        <w:rPr>
          <w:b/>
          <w:sz w:val="24"/>
          <w:szCs w:val="24"/>
        </w:rPr>
      </w:pPr>
      <w:bookmarkStart w:id="0" w:name="_Toc399324744"/>
      <w:r w:rsidRPr="000865A9">
        <w:rPr>
          <w:b/>
          <w:sz w:val="24"/>
          <w:szCs w:val="24"/>
        </w:rPr>
        <w:t>Lesvoorbeeld wiskunde: Verbindingen leggen</w:t>
      </w:r>
      <w:bookmarkEnd w:id="0"/>
    </w:p>
    <w:p w:rsidR="000865A9" w:rsidRPr="000865A9" w:rsidRDefault="000865A9" w:rsidP="000865A9">
      <w:pPr>
        <w:rPr>
          <w:b/>
          <w:sz w:val="24"/>
          <w:szCs w:val="24"/>
        </w:rPr>
      </w:pPr>
    </w:p>
    <w:p w:rsidR="000865A9" w:rsidRPr="000865A9" w:rsidRDefault="000865A9" w:rsidP="000865A9">
      <w:r w:rsidRPr="000865A9">
        <w:t xml:space="preserve">Variant a van deze opgave is een standaardvorm die gebruikt kan worden om het tekenen van grafieken te oefenen, en doet alleen beroep op reproductieve vaardigheden. </w:t>
      </w:r>
    </w:p>
    <w:p w:rsidR="000865A9" w:rsidRDefault="000865A9" w:rsidP="000865A9">
      <w:r w:rsidRPr="000865A9">
        <w:t>Variant b doet een beroep op analyseren en evalueren. Door grafieken te vergelijken met formules moet de leerling daar bewust over nadenken. Dat levert een beter begrip op van de relatie tussen functievoorschrift en grafiek.</w:t>
      </w:r>
    </w:p>
    <w:p w:rsidR="000865A9" w:rsidRPr="000865A9" w:rsidRDefault="000865A9" w:rsidP="000865A9"/>
    <w:tbl>
      <w:tblPr>
        <w:tblStyle w:val="Tabelraster"/>
        <w:tblW w:w="0" w:type="auto"/>
        <w:tblLook w:val="04A0" w:firstRow="1" w:lastRow="0" w:firstColumn="1" w:lastColumn="0" w:noHBand="0" w:noVBand="1"/>
      </w:tblPr>
      <w:tblGrid>
        <w:gridCol w:w="2925"/>
        <w:gridCol w:w="2648"/>
        <w:gridCol w:w="2751"/>
      </w:tblGrid>
      <w:tr w:rsidR="000865A9" w:rsidRPr="000865A9" w:rsidTr="002B53A7">
        <w:tc>
          <w:tcPr>
            <w:tcW w:w="3251" w:type="dxa"/>
          </w:tcPr>
          <w:p w:rsidR="000865A9" w:rsidRPr="000865A9" w:rsidRDefault="000865A9" w:rsidP="000865A9">
            <w:r w:rsidRPr="000865A9">
              <w:t>Variant a</w:t>
            </w:r>
          </w:p>
        </w:tc>
        <w:tc>
          <w:tcPr>
            <w:tcW w:w="2656" w:type="dxa"/>
          </w:tcPr>
          <w:p w:rsidR="000865A9" w:rsidRPr="000865A9" w:rsidRDefault="000865A9" w:rsidP="000865A9"/>
        </w:tc>
        <w:tc>
          <w:tcPr>
            <w:tcW w:w="3155" w:type="dxa"/>
          </w:tcPr>
          <w:p w:rsidR="000865A9" w:rsidRPr="000865A9" w:rsidRDefault="000865A9" w:rsidP="000865A9">
            <w:r w:rsidRPr="000865A9">
              <w:t>Variant b</w:t>
            </w:r>
          </w:p>
        </w:tc>
      </w:tr>
      <w:tr w:rsidR="000865A9" w:rsidRPr="000865A9" w:rsidTr="002B53A7">
        <w:tc>
          <w:tcPr>
            <w:tcW w:w="3251" w:type="dxa"/>
          </w:tcPr>
          <w:p w:rsidR="000865A9" w:rsidRPr="000865A9" w:rsidRDefault="000865A9" w:rsidP="000865A9">
            <w:r w:rsidRPr="000865A9">
              <w:t xml:space="preserve">Teken de grafiek van </w:t>
            </w:r>
          </w:p>
          <w:p w:rsidR="000865A9" w:rsidRPr="000865A9" w:rsidRDefault="000865A9" w:rsidP="000865A9">
            <w:r w:rsidRPr="000865A9">
              <w:t>f(x)= x</w:t>
            </w:r>
            <w:r w:rsidRPr="000865A9">
              <w:rPr>
                <w:vertAlign w:val="superscript"/>
              </w:rPr>
              <w:t xml:space="preserve">2 </w:t>
            </w:r>
            <w:r w:rsidRPr="000865A9">
              <w:t>+ x +2</w:t>
            </w:r>
          </w:p>
        </w:tc>
        <w:tc>
          <w:tcPr>
            <w:tcW w:w="2656" w:type="dxa"/>
          </w:tcPr>
          <w:p w:rsidR="000865A9" w:rsidRPr="000865A9" w:rsidRDefault="000865A9" w:rsidP="000865A9">
            <w:r w:rsidRPr="000865A9">
              <w:drawing>
                <wp:inline distT="0" distB="0" distL="0" distR="0" wp14:anchorId="44BDEE44" wp14:editId="456A8317">
                  <wp:extent cx="1528687" cy="2266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44255" cy="2290037"/>
                          </a:xfrm>
                          <a:prstGeom prst="rect">
                            <a:avLst/>
                          </a:prstGeom>
                        </pic:spPr>
                      </pic:pic>
                    </a:graphicData>
                  </a:graphic>
                </wp:inline>
              </w:drawing>
            </w:r>
          </w:p>
        </w:tc>
        <w:tc>
          <w:tcPr>
            <w:tcW w:w="3155" w:type="dxa"/>
          </w:tcPr>
          <w:p w:rsidR="000865A9" w:rsidRPr="000865A9" w:rsidRDefault="000865A9" w:rsidP="000865A9">
            <w:r w:rsidRPr="000865A9">
              <w:t>Hiernaast zijn vier parabolen getekend en hieronder zijn vier functies gegeven.</w:t>
            </w:r>
          </w:p>
          <w:p w:rsidR="000865A9" w:rsidRPr="000865A9" w:rsidRDefault="000865A9" w:rsidP="000865A9">
            <w:r w:rsidRPr="000865A9">
              <w:t xml:space="preserve">Zoek bij elke parabool het juiste functievoorschrift en licht je keuze toe. </w:t>
            </w:r>
          </w:p>
          <w:p w:rsidR="000865A9" w:rsidRPr="000865A9" w:rsidRDefault="000865A9" w:rsidP="000865A9"/>
          <w:p w:rsidR="000865A9" w:rsidRPr="000865A9" w:rsidRDefault="000865A9" w:rsidP="000865A9">
            <w:pPr>
              <w:rPr>
                <w:lang w:val="en-US"/>
              </w:rPr>
            </w:pPr>
            <w:proofErr w:type="gramStart"/>
            <w:r w:rsidRPr="000865A9">
              <w:rPr>
                <w:lang w:val="en-US"/>
              </w:rPr>
              <w:t>f(</w:t>
            </w:r>
            <w:proofErr w:type="gramEnd"/>
            <w:r w:rsidRPr="000865A9">
              <w:rPr>
                <w:lang w:val="en-US"/>
              </w:rPr>
              <w:t>x)= x</w:t>
            </w:r>
            <w:r w:rsidRPr="000865A9">
              <w:rPr>
                <w:vertAlign w:val="superscript"/>
                <w:lang w:val="en-US"/>
              </w:rPr>
              <w:t xml:space="preserve">2 </w:t>
            </w:r>
            <w:r w:rsidRPr="000865A9">
              <w:rPr>
                <w:lang w:val="en-US"/>
              </w:rPr>
              <w:t xml:space="preserve">+ x +2. </w:t>
            </w:r>
          </w:p>
          <w:p w:rsidR="000865A9" w:rsidRPr="000865A9" w:rsidRDefault="000865A9" w:rsidP="000865A9">
            <w:pPr>
              <w:rPr>
                <w:lang w:val="en-US"/>
              </w:rPr>
            </w:pPr>
            <w:r w:rsidRPr="000865A9">
              <w:rPr>
                <w:lang w:val="en-US"/>
              </w:rPr>
              <w:t>g(x)= x</w:t>
            </w:r>
            <w:r w:rsidRPr="000865A9">
              <w:rPr>
                <w:vertAlign w:val="superscript"/>
                <w:lang w:val="en-US"/>
              </w:rPr>
              <w:t xml:space="preserve">2 </w:t>
            </w:r>
            <w:r w:rsidRPr="000865A9">
              <w:rPr>
                <w:lang w:val="en-US"/>
              </w:rPr>
              <w:t>+ x – 3</w:t>
            </w:r>
          </w:p>
          <w:p w:rsidR="000865A9" w:rsidRPr="000865A9" w:rsidRDefault="000865A9" w:rsidP="000865A9">
            <w:pPr>
              <w:rPr>
                <w:lang w:val="en-US"/>
              </w:rPr>
            </w:pPr>
            <w:r w:rsidRPr="000865A9">
              <w:rPr>
                <w:lang w:val="en-US"/>
              </w:rPr>
              <w:t>h(x)= -2x</w:t>
            </w:r>
            <w:r w:rsidRPr="000865A9">
              <w:rPr>
                <w:vertAlign w:val="superscript"/>
                <w:lang w:val="en-US"/>
              </w:rPr>
              <w:t xml:space="preserve">2 </w:t>
            </w:r>
            <w:r w:rsidRPr="000865A9">
              <w:rPr>
                <w:lang w:val="en-US"/>
              </w:rPr>
              <w:t>+ 2x</w:t>
            </w:r>
          </w:p>
          <w:p w:rsidR="000865A9" w:rsidRPr="000865A9" w:rsidRDefault="000865A9" w:rsidP="000865A9">
            <w:r w:rsidRPr="000865A9">
              <w:t>k(x)= -2x</w:t>
            </w:r>
            <w:r w:rsidRPr="000865A9">
              <w:rPr>
                <w:vertAlign w:val="superscript"/>
              </w:rPr>
              <w:t xml:space="preserve">2 </w:t>
            </w:r>
            <w:r w:rsidRPr="000865A9">
              <w:t>+ 2</w:t>
            </w:r>
          </w:p>
          <w:p w:rsidR="000865A9" w:rsidRPr="000865A9" w:rsidRDefault="000865A9" w:rsidP="000865A9"/>
          <w:p w:rsidR="000865A9" w:rsidRPr="000865A9" w:rsidRDefault="000865A9" w:rsidP="000865A9"/>
          <w:p w:rsidR="000865A9" w:rsidRPr="000865A9" w:rsidRDefault="000865A9" w:rsidP="000865A9"/>
        </w:tc>
      </w:tr>
      <w:tr w:rsidR="000865A9" w:rsidRPr="000865A9" w:rsidTr="002B53A7">
        <w:tc>
          <w:tcPr>
            <w:tcW w:w="3251" w:type="dxa"/>
          </w:tcPr>
          <w:p w:rsidR="000865A9" w:rsidRPr="000865A9" w:rsidRDefault="000865A9" w:rsidP="000865A9">
            <w:r w:rsidRPr="000865A9">
              <w:t>Wat wordt van de leerlingen verwacht?</w:t>
            </w:r>
          </w:p>
          <w:p w:rsidR="000865A9" w:rsidRPr="000865A9" w:rsidRDefault="000865A9" w:rsidP="000865A9">
            <w:pPr>
              <w:numPr>
                <w:ilvl w:val="0"/>
                <w:numId w:val="1"/>
              </w:numPr>
            </w:pPr>
            <w:r w:rsidRPr="000865A9">
              <w:t>Een tabel tekenen.</w:t>
            </w:r>
          </w:p>
          <w:p w:rsidR="000865A9" w:rsidRPr="000865A9" w:rsidRDefault="000865A9" w:rsidP="000865A9">
            <w:pPr>
              <w:numPr>
                <w:ilvl w:val="0"/>
                <w:numId w:val="1"/>
              </w:numPr>
            </w:pPr>
            <w:r w:rsidRPr="000865A9">
              <w:t>De bijbehorende de punten tekenen en er een nette lijn doorheen trekken.</w:t>
            </w:r>
          </w:p>
          <w:p w:rsidR="000865A9" w:rsidRPr="000865A9" w:rsidRDefault="000865A9" w:rsidP="000865A9">
            <w:pPr>
              <w:numPr>
                <w:ilvl w:val="0"/>
                <w:numId w:val="1"/>
              </w:numPr>
            </w:pPr>
            <w:r w:rsidRPr="000865A9">
              <w:t>Een grafiek opleveren als hiernaast.</w:t>
            </w:r>
          </w:p>
          <w:p w:rsidR="000865A9" w:rsidRPr="000865A9" w:rsidRDefault="000865A9" w:rsidP="000865A9"/>
        </w:tc>
        <w:tc>
          <w:tcPr>
            <w:tcW w:w="5811" w:type="dxa"/>
            <w:gridSpan w:val="2"/>
          </w:tcPr>
          <w:p w:rsidR="000865A9" w:rsidRPr="000865A9" w:rsidRDefault="000865A9" w:rsidP="000865A9">
            <w:r w:rsidRPr="000865A9">
              <w:t>Wat wordt van de leerlingen verwacht?</w:t>
            </w:r>
          </w:p>
          <w:p w:rsidR="000865A9" w:rsidRPr="000865A9" w:rsidRDefault="000865A9" w:rsidP="000865A9">
            <w:pPr>
              <w:numPr>
                <w:ilvl w:val="0"/>
                <w:numId w:val="2"/>
              </w:numPr>
            </w:pPr>
            <w:r w:rsidRPr="000865A9">
              <w:t>Inzicht in het verband tussen de parameter voor de x</w:t>
            </w:r>
            <w:r w:rsidRPr="000865A9">
              <w:rPr>
                <w:vertAlign w:val="superscript"/>
              </w:rPr>
              <w:t xml:space="preserve">2 </w:t>
            </w:r>
            <w:r w:rsidRPr="000865A9">
              <w:t>en de vorm van de grafiek (dal- vs. Bergparabool)</w:t>
            </w:r>
          </w:p>
          <w:p w:rsidR="000865A9" w:rsidRPr="000865A9" w:rsidRDefault="000865A9" w:rsidP="000865A9">
            <w:pPr>
              <w:numPr>
                <w:ilvl w:val="0"/>
                <w:numId w:val="2"/>
              </w:numPr>
            </w:pPr>
            <w:r w:rsidRPr="000865A9">
              <w:t>Nadenken over de invloed van de constante op de ligging van de grafiek (verschuiving in verticale richting)</w:t>
            </w:r>
          </w:p>
          <w:p w:rsidR="000865A9" w:rsidRPr="000865A9" w:rsidRDefault="000865A9" w:rsidP="000865A9">
            <w:pPr>
              <w:numPr>
                <w:ilvl w:val="0"/>
                <w:numId w:val="2"/>
              </w:numPr>
            </w:pPr>
            <w:r w:rsidRPr="000865A9">
              <w:t>Nadenken over de symmetrie t.o.v. De y-as (rol parameter voor de x)</w:t>
            </w:r>
          </w:p>
        </w:tc>
      </w:tr>
    </w:tbl>
    <w:p w:rsidR="000865A9" w:rsidRPr="000865A9" w:rsidRDefault="000865A9" w:rsidP="000865A9"/>
    <w:p w:rsidR="00E51397" w:rsidRPr="001615E3" w:rsidRDefault="00E51397" w:rsidP="001615E3">
      <w:bookmarkStart w:id="1" w:name="_GoBack"/>
      <w:bookmarkEnd w:id="1"/>
    </w:p>
    <w:sectPr w:rsidR="00E51397" w:rsidRPr="001615E3" w:rsidSect="00DD4603">
      <w:footerReference w:type="default" r:id="rId8"/>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B27" w:rsidRDefault="000C3B27">
      <w:r>
        <w:separator/>
      </w:r>
    </w:p>
  </w:endnote>
  <w:endnote w:type="continuationSeparator" w:id="0">
    <w:p w:rsidR="000C3B27" w:rsidRDefault="000C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97" w:rsidRDefault="006B2889" w:rsidP="00227972">
    <w:pPr>
      <w:pStyle w:val="Voettekst"/>
      <w:tabs>
        <w:tab w:val="clear" w:pos="9072"/>
        <w:tab w:val="right" w:pos="8280"/>
      </w:tabs>
    </w:pPr>
    <w:r>
      <w:rPr>
        <w:noProof/>
      </w:rPr>
      <w:drawing>
        <wp:anchor distT="0" distB="0" distL="114300" distR="114300" simplePos="0" relativeHeight="251691520" behindDoc="1" locked="1" layoutInCell="0" allowOverlap="1">
          <wp:simplePos x="0" y="0"/>
          <wp:positionH relativeFrom="column">
            <wp:posOffset>-1141095</wp:posOffset>
          </wp:positionH>
          <wp:positionV relativeFrom="page">
            <wp:posOffset>6812280</wp:posOffset>
          </wp:positionV>
          <wp:extent cx="842400" cy="34380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14:sizeRelH relativeFrom="margin">
            <wp14:pctWidth>0</wp14:pctWidth>
          </wp14:sizeRelH>
          <wp14:sizeRelV relativeFrom="margin">
            <wp14:pctHeight>0</wp14:pctHeight>
          </wp14:sizeRelV>
        </wp:anchor>
      </w:drawing>
    </w:r>
    <w:r w:rsidR="00227972">
      <w:rPr>
        <w:rStyle w:val="Paginanummer"/>
      </w:rPr>
      <w:t xml:space="preserve">Bron: </w:t>
    </w:r>
    <w:hyperlink r:id="rId2" w:history="1">
      <w:r w:rsidR="000865A9" w:rsidRPr="00812D35">
        <w:rPr>
          <w:rStyle w:val="Hyperlink"/>
        </w:rPr>
        <w:t>www.hogeredenkvaardigheden.slo.nl</w:t>
      </w:r>
    </w:hyperlink>
    <w:r w:rsidR="000865A9">
      <w:rPr>
        <w:rStyle w:val="Paginanummer"/>
      </w:rPr>
      <w:t xml:space="preserve"> </w:t>
    </w:r>
    <w:r w:rsidR="00227972">
      <w:rPr>
        <w:rStyle w:val="Paginanummer"/>
      </w:rPr>
      <w:tab/>
    </w:r>
    <w:r w:rsidR="00227972">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sidR="00283747">
      <w:rPr>
        <w:rStyle w:val="Paginanummer"/>
        <w:noProof/>
      </w:rPr>
      <w:t>1</w:t>
    </w:r>
    <w:r w:rsidR="00A62CF2">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B27" w:rsidRDefault="000C3B27">
      <w:r>
        <w:separator/>
      </w:r>
    </w:p>
  </w:footnote>
  <w:footnote w:type="continuationSeparator" w:id="0">
    <w:p w:rsidR="000C3B27" w:rsidRDefault="000C3B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45FEC"/>
    <w:multiLevelType w:val="hybridMultilevel"/>
    <w:tmpl w:val="454A80D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F866E11"/>
    <w:multiLevelType w:val="hybridMultilevel"/>
    <w:tmpl w:val="A720EE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43"/>
    <w:rsid w:val="000865A9"/>
    <w:rsid w:val="000C3B27"/>
    <w:rsid w:val="001615E3"/>
    <w:rsid w:val="001A565A"/>
    <w:rsid w:val="00227972"/>
    <w:rsid w:val="00235D22"/>
    <w:rsid w:val="00283747"/>
    <w:rsid w:val="003E0EA5"/>
    <w:rsid w:val="006B2889"/>
    <w:rsid w:val="00762834"/>
    <w:rsid w:val="007F016D"/>
    <w:rsid w:val="008038A1"/>
    <w:rsid w:val="0088760E"/>
    <w:rsid w:val="00890B33"/>
    <w:rsid w:val="00995FAA"/>
    <w:rsid w:val="009D59F7"/>
    <w:rsid w:val="00A62CF2"/>
    <w:rsid w:val="00A845AF"/>
    <w:rsid w:val="00CC3512"/>
    <w:rsid w:val="00DA50A2"/>
    <w:rsid w:val="00DB21B0"/>
    <w:rsid w:val="00DD4603"/>
    <w:rsid w:val="00DF0D43"/>
    <w:rsid w:val="00E513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23D997E-CFCF-4A74-A6CB-931D25524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E0EA5"/>
    <w:pPr>
      <w:overflowPunct w:val="0"/>
      <w:autoSpaceDE w:val="0"/>
      <w:autoSpaceDN w:val="0"/>
      <w:adjustRightInd w:val="0"/>
      <w:spacing w:line="260" w:lineRule="atLeast"/>
      <w:textAlignment w:val="baseline"/>
    </w:pPr>
    <w:rPr>
      <w:rFonts w:ascii="Arial" w:hAnsi="Arial"/>
      <w:sz w:val="18"/>
    </w:rPr>
  </w:style>
  <w:style w:type="paragraph" w:styleId="Kop1">
    <w:name w:val="heading 1"/>
    <w:basedOn w:val="Standaard"/>
    <w:next w:val="Standaard"/>
    <w:link w:val="Kop1Char"/>
    <w:uiPriority w:val="9"/>
    <w:qFormat/>
    <w:rsid w:val="000865A9"/>
    <w:pPr>
      <w:keepNext/>
      <w:keepLines/>
      <w:overflowPunct/>
      <w:autoSpaceDE/>
      <w:autoSpaceDN/>
      <w:adjustRightInd/>
      <w:spacing w:before="240" w:line="259" w:lineRule="auto"/>
      <w:textAlignment w:val="auto"/>
      <w:outlineLvl w:val="0"/>
    </w:pPr>
    <w:rPr>
      <w:rFonts w:asciiTheme="majorHAnsi" w:eastAsiaTheme="majorEastAsia" w:hAnsiTheme="majorHAnsi" w:cstheme="majorBidi"/>
      <w:color w:val="365F91" w:themeColor="accent1" w:themeShade="BF"/>
      <w:sz w:val="32"/>
      <w:szCs w:val="32"/>
      <w:lang w:eastAsia="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table" w:styleId="Tabelraster">
    <w:name w:val="Table Grid"/>
    <w:basedOn w:val="Standaardtabel"/>
    <w:rsid w:val="000865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0865A9"/>
    <w:rPr>
      <w:rFonts w:asciiTheme="majorHAnsi" w:eastAsiaTheme="majorEastAsia" w:hAnsiTheme="majorHAnsi" w:cstheme="majorBidi"/>
      <w:color w:val="365F91" w:themeColor="accent1" w:themeShade="BF"/>
      <w:sz w:val="32"/>
      <w:szCs w:val="32"/>
      <w:lang w:eastAsia="en-US"/>
    </w:rPr>
  </w:style>
  <w:style w:type="paragraph" w:styleId="Ballontekst">
    <w:name w:val="Balloon Text"/>
    <w:basedOn w:val="Standaard"/>
    <w:link w:val="BallontekstChar"/>
    <w:semiHidden/>
    <w:unhideWhenUsed/>
    <w:rsid w:val="000865A9"/>
    <w:pPr>
      <w:spacing w:line="240" w:lineRule="auto"/>
    </w:pPr>
    <w:rPr>
      <w:rFonts w:ascii="Segoe UI" w:hAnsi="Segoe UI" w:cs="Segoe UI"/>
      <w:szCs w:val="18"/>
    </w:rPr>
  </w:style>
  <w:style w:type="character" w:customStyle="1" w:styleId="BallontekstChar">
    <w:name w:val="Ballontekst Char"/>
    <w:basedOn w:val="Standaardalinea-lettertype"/>
    <w:link w:val="Ballontekst"/>
    <w:semiHidden/>
    <w:rsid w:val="000865A9"/>
    <w:rPr>
      <w:rFonts w:ascii="Segoe UI" w:hAnsi="Segoe UI" w:cs="Segoe UI"/>
      <w:sz w:val="18"/>
      <w:szCs w:val="18"/>
    </w:rPr>
  </w:style>
  <w:style w:type="character" w:styleId="Hyperlink">
    <w:name w:val="Hyperlink"/>
    <w:basedOn w:val="Standaardalinea-lettertype"/>
    <w:unhideWhenUsed/>
    <w:rsid w:val="000865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2" Type="http://schemas.openxmlformats.org/officeDocument/2006/relationships/hyperlink" Target="http://www.hogeredenkvaardigheden.slo.nl" TargetMode="External"/><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RepFileFormat_0 xmlns="http://schemas.microsoft.com/sharepoint/v3">
      <Terms xmlns="http://schemas.microsoft.com/office/infopath/2007/PartnerControls"/>
    </RepFileFormat_0>
    <RepYear_0 xmlns="http://schemas.microsoft.com/sharepoint/v3">
      <Terms xmlns="http://schemas.microsoft.com/office/infopath/2007/PartnerControl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 xsi:nil="true"/>
    <RepApaNotation xmlns="http://schemas.microsoft.com/sharepoint/v3" xsi:nil="true"/>
    <_dlc_DocId xmlns="7106a2ac-038a-457f-8b58-ec67130d9d6d">47XQ5P3E4USX-10-1511</_dlc_DocId>
    <_dlc_DocIdUrl xmlns="7106a2ac-038a-457f-8b58-ec67130d9d6d">
      <Url>http://downloads.slo.nl/_layouts/15/DocIdRedir.aspx?ID=47XQ5P3E4USX-10-1511</Url>
      <Description>47XQ5P3E4USX-10-1511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57C04F-2894-4EEC-B015-3EE1E8D27ACF}"/>
</file>

<file path=customXml/itemProps2.xml><?xml version="1.0" encoding="utf-8"?>
<ds:datastoreItem xmlns:ds="http://schemas.openxmlformats.org/officeDocument/2006/customXml" ds:itemID="{F914BE72-FD74-4488-ADF3-C6C0DF6A8F74}"/>
</file>

<file path=customXml/itemProps3.xml><?xml version="1.0" encoding="utf-8"?>
<ds:datastoreItem xmlns:ds="http://schemas.openxmlformats.org/officeDocument/2006/customXml" ds:itemID="{8183FC82-8953-4ADD-9859-147B9546AE57}"/>
</file>

<file path=customXml/itemProps4.xml><?xml version="1.0" encoding="utf-8"?>
<ds:datastoreItem xmlns:ds="http://schemas.openxmlformats.org/officeDocument/2006/customXml" ds:itemID="{6289170D-CC58-40D8-9836-370EFE9093B6}"/>
</file>

<file path=docProps/app.xml><?xml version="1.0" encoding="utf-8"?>
<Properties xmlns="http://schemas.openxmlformats.org/officeDocument/2006/extended-properties" xmlns:vt="http://schemas.openxmlformats.org/officeDocument/2006/docPropsVTypes">
  <Template>lesbrief.dotm</Template>
  <TotalTime>1</TotalTime>
  <Pages>1</Pages>
  <Words>199</Words>
  <Characters>1016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1213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Werkblad-Lesbrief</dc:title>
  <dc:creator>Jessica van der Veen</dc:creator>
  <cp:lastModifiedBy>Lammie Stoffers</cp:lastModifiedBy>
  <cp:revision>3</cp:revision>
  <cp:lastPrinted>2015-04-01T09:29:00Z</cp:lastPrinted>
  <dcterms:created xsi:type="dcterms:W3CDTF">2015-04-01T09:28:00Z</dcterms:created>
  <dcterms:modified xsi:type="dcterms:W3CDTF">2015-04-01T09:29:00Z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0c1ac288-7491-401a-a604-f6362025e363</vt:lpwstr>
  </property>
</Properties>
</file>