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5CF6" w14:textId="77777777" w:rsidR="00154E7A" w:rsidRPr="00154E7A" w:rsidRDefault="00154E7A" w:rsidP="00154E7A">
      <w:pPr>
        <w:rPr>
          <w:rFonts w:ascii="Arial" w:hAnsi="Arial" w:cs="Arial"/>
          <w:b/>
          <w:sz w:val="24"/>
          <w:szCs w:val="24"/>
        </w:rPr>
      </w:pPr>
      <w:r w:rsidRPr="00154E7A">
        <w:rPr>
          <w:rFonts w:ascii="Arial" w:hAnsi="Arial" w:cs="Arial"/>
          <w:b/>
          <w:sz w:val="24"/>
          <w:szCs w:val="24"/>
        </w:rPr>
        <w:t>Het schrijven van een PTA</w:t>
      </w:r>
    </w:p>
    <w:p w14:paraId="78255CF7" w14:textId="77777777" w:rsidR="00154E7A" w:rsidRPr="00154E7A" w:rsidRDefault="00154E7A" w:rsidP="00154E7A">
      <w:pPr>
        <w:rPr>
          <w:rFonts w:ascii="Arial" w:hAnsi="Arial" w:cs="Arial"/>
          <w:i/>
          <w:color w:val="0070C0"/>
          <w:sz w:val="18"/>
          <w:szCs w:val="18"/>
        </w:rPr>
      </w:pPr>
    </w:p>
    <w:p w14:paraId="78255CF8" w14:textId="77777777" w:rsidR="00154E7A" w:rsidRPr="00154E7A" w:rsidRDefault="00154E7A" w:rsidP="00154E7A">
      <w:pPr>
        <w:rPr>
          <w:rFonts w:ascii="Arial" w:hAnsi="Arial" w:cs="Arial"/>
          <w:sz w:val="18"/>
          <w:szCs w:val="18"/>
        </w:rPr>
      </w:pPr>
      <w:r w:rsidRPr="00154E7A">
        <w:rPr>
          <w:rFonts w:ascii="Arial" w:hAnsi="Arial" w:cs="Arial"/>
          <w:sz w:val="18"/>
          <w:szCs w:val="18"/>
        </w:rPr>
        <w:t>In het PTA moeten de volgende punten uitgewerkt zijn:</w:t>
      </w:r>
    </w:p>
    <w:p w14:paraId="78255CF9" w14:textId="77777777" w:rsidR="00154E7A" w:rsidRPr="00154E7A" w:rsidRDefault="00154E7A" w:rsidP="00154E7A">
      <w:pPr>
        <w:rPr>
          <w:rFonts w:ascii="Arial" w:hAnsi="Arial" w:cs="Arial"/>
          <w:i/>
          <w:color w:val="0070C0"/>
          <w:sz w:val="18"/>
          <w:szCs w:val="18"/>
        </w:rPr>
      </w:pPr>
    </w:p>
    <w:tbl>
      <w:tblPr>
        <w:tblStyle w:val="Tabelraster"/>
        <w:tblW w:w="0" w:type="auto"/>
        <w:tblLook w:val="04A0" w:firstRow="1" w:lastRow="0" w:firstColumn="1" w:lastColumn="0" w:noHBand="0" w:noVBand="1"/>
      </w:tblPr>
      <w:tblGrid>
        <w:gridCol w:w="878"/>
        <w:gridCol w:w="1794"/>
        <w:gridCol w:w="2244"/>
        <w:gridCol w:w="1137"/>
        <w:gridCol w:w="1197"/>
        <w:gridCol w:w="1074"/>
      </w:tblGrid>
      <w:tr w:rsidR="00154E7A" w:rsidRPr="001F2FC5" w14:paraId="78255CFB" w14:textId="77777777" w:rsidTr="001F2FC5">
        <w:tc>
          <w:tcPr>
            <w:tcW w:w="8324" w:type="dxa"/>
            <w:gridSpan w:val="6"/>
            <w:shd w:val="clear" w:color="auto" w:fill="00B0F0"/>
          </w:tcPr>
          <w:p w14:paraId="78255CFA" w14:textId="70F9B4A2" w:rsidR="00154E7A" w:rsidRPr="001F2FC5" w:rsidRDefault="001F2FC5" w:rsidP="001F2FC5">
            <w:pPr>
              <w:spacing w:before="100" w:beforeAutospacing="1" w:after="100" w:afterAutospacing="1" w:line="240" w:lineRule="auto"/>
              <w:rPr>
                <w:rFonts w:ascii="Arial" w:hAnsi="Arial" w:cs="Arial"/>
                <w:sz w:val="28"/>
                <w:szCs w:val="28"/>
              </w:rPr>
            </w:pPr>
            <w:r w:rsidRPr="001F2FC5">
              <w:rPr>
                <w:rFonts w:ascii="Arial" w:hAnsi="Arial" w:cs="Arial"/>
                <w:b/>
                <w:sz w:val="28"/>
                <w:szCs w:val="28"/>
              </w:rPr>
              <w:t>PTA</w:t>
            </w:r>
            <w:r>
              <w:rPr>
                <w:rFonts w:ascii="Arial" w:hAnsi="Arial" w:cs="Arial"/>
                <w:sz w:val="28"/>
                <w:szCs w:val="28"/>
              </w:rPr>
              <w:t xml:space="preserve">  </w:t>
            </w:r>
            <w:r w:rsidRPr="001F2FC5">
              <w:rPr>
                <w:rFonts w:ascii="Arial" w:hAnsi="Arial" w:cs="Arial"/>
                <w:sz w:val="18"/>
                <w:szCs w:val="18"/>
              </w:rPr>
              <w:t>&lt; n</w:t>
            </w:r>
            <w:r w:rsidR="00154E7A" w:rsidRPr="001F2FC5">
              <w:rPr>
                <w:rFonts w:ascii="Arial" w:hAnsi="Arial" w:cs="Arial"/>
                <w:sz w:val="18"/>
                <w:szCs w:val="18"/>
              </w:rPr>
              <w:t xml:space="preserve">aam </w:t>
            </w:r>
            <w:r w:rsidRPr="001F2FC5">
              <w:rPr>
                <w:rFonts w:ascii="Arial" w:hAnsi="Arial" w:cs="Arial"/>
                <w:sz w:val="18"/>
                <w:szCs w:val="18"/>
              </w:rPr>
              <w:t xml:space="preserve">profielvak en/of </w:t>
            </w:r>
            <w:r w:rsidR="00154E7A" w:rsidRPr="001F2FC5">
              <w:rPr>
                <w:rFonts w:ascii="Arial" w:hAnsi="Arial" w:cs="Arial"/>
                <w:sz w:val="18"/>
                <w:szCs w:val="18"/>
              </w:rPr>
              <w:t>keuzevak</w:t>
            </w:r>
            <w:r w:rsidRPr="001F2FC5">
              <w:rPr>
                <w:rFonts w:ascii="Arial" w:hAnsi="Arial" w:cs="Arial"/>
                <w:sz w:val="18"/>
                <w:szCs w:val="18"/>
              </w:rPr>
              <w:t xml:space="preserve"> &gt;</w:t>
            </w:r>
            <w:r>
              <w:rPr>
                <w:rFonts w:ascii="Arial" w:hAnsi="Arial" w:cs="Arial"/>
                <w:sz w:val="28"/>
                <w:szCs w:val="28"/>
              </w:rPr>
              <w:t xml:space="preserve">                               Leerweg: </w:t>
            </w:r>
          </w:p>
        </w:tc>
      </w:tr>
      <w:tr w:rsidR="001F2FC5" w:rsidRPr="00154E7A" w14:paraId="78255D02" w14:textId="77777777" w:rsidTr="00154E7A">
        <w:tc>
          <w:tcPr>
            <w:tcW w:w="846" w:type="dxa"/>
          </w:tcPr>
          <w:p w14:paraId="78255CFC" w14:textId="77777777" w:rsidR="00154E7A" w:rsidRPr="00154E7A" w:rsidRDefault="00154E7A" w:rsidP="000E3341">
            <w:pPr>
              <w:spacing w:before="100" w:beforeAutospacing="1" w:after="100" w:afterAutospacing="1" w:line="240" w:lineRule="auto"/>
              <w:jc w:val="center"/>
              <w:rPr>
                <w:rFonts w:ascii="Arial" w:hAnsi="Arial" w:cs="Arial"/>
                <w:sz w:val="18"/>
                <w:szCs w:val="18"/>
              </w:rPr>
            </w:pPr>
            <w:r w:rsidRPr="00154E7A">
              <w:rPr>
                <w:rFonts w:ascii="Arial" w:hAnsi="Arial" w:cs="Arial"/>
                <w:sz w:val="18"/>
                <w:szCs w:val="18"/>
              </w:rPr>
              <w:t>1</w:t>
            </w:r>
          </w:p>
        </w:tc>
        <w:tc>
          <w:tcPr>
            <w:tcW w:w="1843" w:type="dxa"/>
          </w:tcPr>
          <w:p w14:paraId="78255CFD" w14:textId="77777777" w:rsidR="00154E7A" w:rsidRPr="00154E7A" w:rsidRDefault="00154E7A" w:rsidP="000E3341">
            <w:pPr>
              <w:spacing w:before="100" w:beforeAutospacing="1" w:after="100" w:afterAutospacing="1" w:line="240" w:lineRule="auto"/>
              <w:jc w:val="center"/>
              <w:rPr>
                <w:rFonts w:ascii="Arial" w:hAnsi="Arial" w:cs="Arial"/>
                <w:sz w:val="18"/>
                <w:szCs w:val="18"/>
              </w:rPr>
            </w:pPr>
            <w:r w:rsidRPr="00154E7A">
              <w:rPr>
                <w:rFonts w:ascii="Arial" w:hAnsi="Arial" w:cs="Arial"/>
                <w:sz w:val="18"/>
                <w:szCs w:val="18"/>
              </w:rPr>
              <w:t>2</w:t>
            </w:r>
          </w:p>
        </w:tc>
        <w:tc>
          <w:tcPr>
            <w:tcW w:w="2268" w:type="dxa"/>
          </w:tcPr>
          <w:p w14:paraId="78255CFE" w14:textId="77777777" w:rsidR="00154E7A" w:rsidRPr="00154E7A" w:rsidRDefault="00154E7A" w:rsidP="000E3341">
            <w:pPr>
              <w:spacing w:before="100" w:beforeAutospacing="1" w:after="100" w:afterAutospacing="1" w:line="240" w:lineRule="auto"/>
              <w:jc w:val="center"/>
              <w:rPr>
                <w:rFonts w:ascii="Arial" w:hAnsi="Arial" w:cs="Arial"/>
                <w:sz w:val="18"/>
                <w:szCs w:val="18"/>
              </w:rPr>
            </w:pPr>
            <w:r w:rsidRPr="00154E7A">
              <w:rPr>
                <w:rFonts w:ascii="Arial" w:hAnsi="Arial" w:cs="Arial"/>
                <w:sz w:val="18"/>
                <w:szCs w:val="18"/>
              </w:rPr>
              <w:t>3</w:t>
            </w:r>
          </w:p>
        </w:tc>
        <w:tc>
          <w:tcPr>
            <w:tcW w:w="1134" w:type="dxa"/>
          </w:tcPr>
          <w:p w14:paraId="78255CFF" w14:textId="77777777" w:rsidR="00154E7A" w:rsidRPr="00154E7A" w:rsidRDefault="00154E7A" w:rsidP="000E3341">
            <w:pPr>
              <w:spacing w:before="100" w:beforeAutospacing="1" w:after="100" w:afterAutospacing="1" w:line="240" w:lineRule="auto"/>
              <w:jc w:val="center"/>
              <w:rPr>
                <w:rFonts w:ascii="Arial" w:hAnsi="Arial" w:cs="Arial"/>
                <w:sz w:val="18"/>
                <w:szCs w:val="18"/>
              </w:rPr>
            </w:pPr>
            <w:r w:rsidRPr="00154E7A">
              <w:rPr>
                <w:rFonts w:ascii="Arial" w:hAnsi="Arial" w:cs="Arial"/>
                <w:sz w:val="18"/>
                <w:szCs w:val="18"/>
              </w:rPr>
              <w:t>4</w:t>
            </w:r>
          </w:p>
        </w:tc>
        <w:tc>
          <w:tcPr>
            <w:tcW w:w="1134" w:type="dxa"/>
          </w:tcPr>
          <w:p w14:paraId="78255D00" w14:textId="77777777" w:rsidR="00154E7A" w:rsidRPr="00154E7A" w:rsidRDefault="00154E7A" w:rsidP="000E3341">
            <w:pPr>
              <w:spacing w:before="100" w:beforeAutospacing="1" w:after="100" w:afterAutospacing="1" w:line="240" w:lineRule="auto"/>
              <w:jc w:val="center"/>
              <w:rPr>
                <w:rFonts w:ascii="Arial" w:hAnsi="Arial" w:cs="Arial"/>
                <w:sz w:val="18"/>
                <w:szCs w:val="18"/>
              </w:rPr>
            </w:pPr>
            <w:r w:rsidRPr="00154E7A">
              <w:rPr>
                <w:rFonts w:ascii="Arial" w:hAnsi="Arial" w:cs="Arial"/>
                <w:sz w:val="18"/>
                <w:szCs w:val="18"/>
              </w:rPr>
              <w:t>5</w:t>
            </w:r>
          </w:p>
        </w:tc>
        <w:tc>
          <w:tcPr>
            <w:tcW w:w="1099" w:type="dxa"/>
          </w:tcPr>
          <w:p w14:paraId="78255D01" w14:textId="77777777" w:rsidR="00154E7A" w:rsidRPr="00154E7A" w:rsidRDefault="00154E7A" w:rsidP="000E3341">
            <w:pPr>
              <w:spacing w:before="100" w:beforeAutospacing="1" w:after="100" w:afterAutospacing="1" w:line="240" w:lineRule="auto"/>
              <w:jc w:val="center"/>
              <w:rPr>
                <w:rFonts w:ascii="Arial" w:hAnsi="Arial" w:cs="Arial"/>
                <w:sz w:val="18"/>
                <w:szCs w:val="18"/>
              </w:rPr>
            </w:pPr>
            <w:r w:rsidRPr="00154E7A">
              <w:rPr>
                <w:rFonts w:ascii="Arial" w:hAnsi="Arial" w:cs="Arial"/>
                <w:sz w:val="18"/>
                <w:szCs w:val="18"/>
              </w:rPr>
              <w:t>6</w:t>
            </w:r>
          </w:p>
        </w:tc>
      </w:tr>
      <w:tr w:rsidR="001F2FC5" w:rsidRPr="001F2FC5" w14:paraId="78255D09" w14:textId="77777777" w:rsidTr="00154E7A">
        <w:tc>
          <w:tcPr>
            <w:tcW w:w="846" w:type="dxa"/>
          </w:tcPr>
          <w:p w14:paraId="78255D03" w14:textId="1E1A71D7" w:rsidR="00154E7A" w:rsidRPr="001F2FC5" w:rsidRDefault="001F2FC5" w:rsidP="000E3341">
            <w:pPr>
              <w:spacing w:before="100" w:beforeAutospacing="1" w:after="100" w:afterAutospacing="1" w:line="240" w:lineRule="auto"/>
              <w:rPr>
                <w:rFonts w:ascii="Arial" w:hAnsi="Arial" w:cs="Arial"/>
                <w:b/>
                <w:sz w:val="18"/>
                <w:szCs w:val="18"/>
              </w:rPr>
            </w:pPr>
            <w:r>
              <w:rPr>
                <w:rFonts w:ascii="Arial" w:hAnsi="Arial" w:cs="Arial"/>
                <w:b/>
                <w:sz w:val="18"/>
                <w:szCs w:val="18"/>
              </w:rPr>
              <w:t>P</w:t>
            </w:r>
            <w:r w:rsidR="00154E7A" w:rsidRPr="001F2FC5">
              <w:rPr>
                <w:rFonts w:ascii="Arial" w:hAnsi="Arial" w:cs="Arial"/>
                <w:b/>
                <w:sz w:val="18"/>
                <w:szCs w:val="18"/>
              </w:rPr>
              <w:t>eriode</w:t>
            </w:r>
          </w:p>
        </w:tc>
        <w:tc>
          <w:tcPr>
            <w:tcW w:w="1843" w:type="dxa"/>
          </w:tcPr>
          <w:p w14:paraId="0201ED34" w14:textId="77777777" w:rsidR="001F2FC5" w:rsidRDefault="001F2FC5" w:rsidP="000E3341">
            <w:pPr>
              <w:spacing w:before="100" w:beforeAutospacing="1" w:after="100" w:afterAutospacing="1" w:line="240" w:lineRule="auto"/>
              <w:rPr>
                <w:rFonts w:ascii="Arial" w:hAnsi="Arial" w:cs="Arial"/>
                <w:b/>
                <w:sz w:val="18"/>
                <w:szCs w:val="18"/>
              </w:rPr>
            </w:pPr>
            <w:r>
              <w:rPr>
                <w:rFonts w:ascii="Arial" w:hAnsi="Arial" w:cs="Arial"/>
                <w:b/>
                <w:sz w:val="18"/>
                <w:szCs w:val="18"/>
              </w:rPr>
              <w:t>Eindtermen</w:t>
            </w:r>
            <w:r>
              <w:rPr>
                <w:rFonts w:ascii="Arial" w:hAnsi="Arial" w:cs="Arial"/>
                <w:b/>
                <w:sz w:val="18"/>
                <w:szCs w:val="18"/>
              </w:rPr>
              <w:br/>
            </w:r>
            <w:r w:rsidRPr="001F2FC5">
              <w:rPr>
                <w:rFonts w:ascii="Arial" w:hAnsi="Arial" w:cs="Arial"/>
                <w:i/>
                <w:sz w:val="18"/>
                <w:szCs w:val="18"/>
              </w:rPr>
              <w:t>Wat moet je kennen en kunnen?</w:t>
            </w:r>
          </w:p>
          <w:p w14:paraId="78255D04" w14:textId="5870DE6C" w:rsidR="00154E7A" w:rsidRPr="001F2FC5" w:rsidRDefault="001F2FC5" w:rsidP="001F2FC5">
            <w:pPr>
              <w:spacing w:before="100" w:beforeAutospacing="1" w:after="100" w:afterAutospacing="1" w:line="240" w:lineRule="auto"/>
              <w:rPr>
                <w:rFonts w:ascii="Arial" w:hAnsi="Arial" w:cs="Arial"/>
                <w:b/>
                <w:sz w:val="18"/>
                <w:szCs w:val="18"/>
              </w:rPr>
            </w:pPr>
            <w:r>
              <w:rPr>
                <w:rFonts w:ascii="Arial" w:hAnsi="Arial" w:cs="Arial"/>
                <w:b/>
                <w:sz w:val="18"/>
                <w:szCs w:val="18"/>
              </w:rPr>
              <w:t xml:space="preserve">(Kopieer eindtermen uit profielvak en/of keuzevakken) </w:t>
            </w:r>
          </w:p>
        </w:tc>
        <w:tc>
          <w:tcPr>
            <w:tcW w:w="2268" w:type="dxa"/>
          </w:tcPr>
          <w:p w14:paraId="78255D05" w14:textId="1D6210D3" w:rsidR="00154E7A" w:rsidRPr="001F2FC5" w:rsidRDefault="001F2FC5" w:rsidP="000E3341">
            <w:pPr>
              <w:spacing w:before="100" w:beforeAutospacing="1" w:after="100" w:afterAutospacing="1" w:line="240" w:lineRule="auto"/>
              <w:rPr>
                <w:rFonts w:ascii="Arial" w:hAnsi="Arial" w:cs="Arial"/>
                <w:b/>
                <w:sz w:val="18"/>
                <w:szCs w:val="18"/>
              </w:rPr>
            </w:pPr>
            <w:r>
              <w:rPr>
                <w:rFonts w:ascii="Arial" w:hAnsi="Arial" w:cs="Arial"/>
                <w:b/>
                <w:sz w:val="18"/>
                <w:szCs w:val="18"/>
              </w:rPr>
              <w:t>Inhoud</w:t>
            </w:r>
            <w:r>
              <w:rPr>
                <w:rFonts w:ascii="Arial" w:hAnsi="Arial" w:cs="Arial"/>
                <w:b/>
                <w:sz w:val="18"/>
                <w:szCs w:val="18"/>
              </w:rPr>
              <w:br/>
            </w:r>
            <w:r w:rsidR="00154E7A" w:rsidRPr="001F2FC5">
              <w:rPr>
                <w:rFonts w:ascii="Arial" w:hAnsi="Arial" w:cs="Arial"/>
                <w:b/>
                <w:sz w:val="18"/>
                <w:szCs w:val="18"/>
              </w:rPr>
              <w:t>onderwijsprogramma</w:t>
            </w:r>
            <w:r>
              <w:rPr>
                <w:rFonts w:ascii="Arial" w:hAnsi="Arial" w:cs="Arial"/>
                <w:b/>
                <w:sz w:val="18"/>
                <w:szCs w:val="18"/>
              </w:rPr>
              <w:br/>
            </w:r>
            <w:r w:rsidRPr="001F2FC5">
              <w:rPr>
                <w:rFonts w:ascii="Arial" w:hAnsi="Arial" w:cs="Arial"/>
                <w:i/>
                <w:sz w:val="18"/>
                <w:szCs w:val="18"/>
              </w:rPr>
              <w:t>Wat ga je hiervoor doen?</w:t>
            </w:r>
          </w:p>
        </w:tc>
        <w:tc>
          <w:tcPr>
            <w:tcW w:w="1134" w:type="dxa"/>
          </w:tcPr>
          <w:p w14:paraId="78255D06" w14:textId="0DDF249C" w:rsidR="00154E7A" w:rsidRPr="001F2FC5" w:rsidRDefault="001F2FC5" w:rsidP="001F2FC5">
            <w:pPr>
              <w:spacing w:before="100" w:beforeAutospacing="1" w:after="100" w:afterAutospacing="1" w:line="240" w:lineRule="auto"/>
              <w:rPr>
                <w:rFonts w:ascii="Arial" w:hAnsi="Arial" w:cs="Arial"/>
                <w:b/>
                <w:sz w:val="18"/>
                <w:szCs w:val="18"/>
              </w:rPr>
            </w:pPr>
            <w:r>
              <w:rPr>
                <w:rFonts w:ascii="Arial" w:hAnsi="Arial" w:cs="Arial"/>
                <w:b/>
                <w:sz w:val="18"/>
                <w:szCs w:val="18"/>
              </w:rPr>
              <w:t>T</w:t>
            </w:r>
            <w:r w:rsidR="00154E7A" w:rsidRPr="001F2FC5">
              <w:rPr>
                <w:rFonts w:ascii="Arial" w:hAnsi="Arial" w:cs="Arial"/>
                <w:b/>
                <w:sz w:val="18"/>
                <w:szCs w:val="18"/>
              </w:rPr>
              <w:t>oetsvorm</w:t>
            </w:r>
            <w:r w:rsidR="00154E7A" w:rsidRPr="001F2FC5">
              <w:rPr>
                <w:rFonts w:ascii="Arial" w:hAnsi="Arial" w:cs="Arial"/>
                <w:b/>
                <w:sz w:val="18"/>
                <w:szCs w:val="18"/>
              </w:rPr>
              <w:br/>
            </w:r>
          </w:p>
        </w:tc>
        <w:tc>
          <w:tcPr>
            <w:tcW w:w="1134" w:type="dxa"/>
          </w:tcPr>
          <w:p w14:paraId="78255D07" w14:textId="20E9000B" w:rsidR="00154E7A" w:rsidRPr="001F2FC5" w:rsidRDefault="001F2FC5" w:rsidP="000E3341">
            <w:pPr>
              <w:spacing w:before="100" w:beforeAutospacing="1" w:after="100" w:afterAutospacing="1" w:line="240" w:lineRule="auto"/>
              <w:rPr>
                <w:rFonts w:ascii="Arial" w:hAnsi="Arial" w:cs="Arial"/>
                <w:b/>
                <w:sz w:val="18"/>
                <w:szCs w:val="18"/>
              </w:rPr>
            </w:pPr>
            <w:r>
              <w:rPr>
                <w:rFonts w:ascii="Arial" w:hAnsi="Arial" w:cs="Arial"/>
                <w:b/>
                <w:sz w:val="18"/>
                <w:szCs w:val="18"/>
              </w:rPr>
              <w:t>H</w:t>
            </w:r>
            <w:r w:rsidR="00154E7A" w:rsidRPr="001F2FC5">
              <w:rPr>
                <w:rFonts w:ascii="Arial" w:hAnsi="Arial" w:cs="Arial"/>
                <w:b/>
                <w:sz w:val="18"/>
                <w:szCs w:val="18"/>
              </w:rPr>
              <w:t>erkansing</w:t>
            </w:r>
            <w:r>
              <w:rPr>
                <w:rFonts w:ascii="Arial" w:hAnsi="Arial" w:cs="Arial"/>
                <w:b/>
                <w:sz w:val="18"/>
                <w:szCs w:val="18"/>
              </w:rPr>
              <w:br/>
              <w:t>ja / nee</w:t>
            </w:r>
            <w:r w:rsidR="00154E7A" w:rsidRPr="001F2FC5">
              <w:rPr>
                <w:rFonts w:ascii="Arial" w:hAnsi="Arial" w:cs="Arial"/>
                <w:b/>
                <w:sz w:val="18"/>
                <w:szCs w:val="18"/>
              </w:rPr>
              <w:t xml:space="preserve"> </w:t>
            </w:r>
          </w:p>
        </w:tc>
        <w:tc>
          <w:tcPr>
            <w:tcW w:w="1099" w:type="dxa"/>
          </w:tcPr>
          <w:p w14:paraId="78255D08" w14:textId="33D9CC40" w:rsidR="00154E7A" w:rsidRPr="001F2FC5" w:rsidRDefault="00955C40" w:rsidP="001F2FC5">
            <w:pPr>
              <w:spacing w:before="100" w:beforeAutospacing="1" w:after="100" w:afterAutospacing="1" w:line="240" w:lineRule="auto"/>
              <w:rPr>
                <w:rFonts w:ascii="Arial" w:hAnsi="Arial" w:cs="Arial"/>
                <w:b/>
                <w:sz w:val="18"/>
                <w:szCs w:val="18"/>
              </w:rPr>
            </w:pPr>
            <w:r>
              <w:rPr>
                <w:rFonts w:ascii="Arial" w:hAnsi="Arial" w:cs="Arial"/>
                <w:b/>
                <w:sz w:val="18"/>
                <w:szCs w:val="18"/>
              </w:rPr>
              <w:t>W</w:t>
            </w:r>
            <w:bookmarkStart w:id="0" w:name="_GoBack"/>
            <w:bookmarkEnd w:id="0"/>
            <w:r w:rsidR="001F2FC5">
              <w:rPr>
                <w:rFonts w:ascii="Arial" w:hAnsi="Arial" w:cs="Arial"/>
                <w:b/>
                <w:sz w:val="18"/>
                <w:szCs w:val="18"/>
              </w:rPr>
              <w:t>eging</w:t>
            </w:r>
          </w:p>
        </w:tc>
      </w:tr>
      <w:tr w:rsidR="001F2FC5" w:rsidRPr="00154E7A" w14:paraId="78255D10" w14:textId="77777777" w:rsidTr="00154E7A">
        <w:tc>
          <w:tcPr>
            <w:tcW w:w="846" w:type="dxa"/>
          </w:tcPr>
          <w:p w14:paraId="78255D0A" w14:textId="1EF5A109" w:rsidR="00154E7A" w:rsidRPr="00154E7A" w:rsidRDefault="00154E7A" w:rsidP="000E3341">
            <w:pPr>
              <w:spacing w:before="100" w:beforeAutospacing="1" w:after="100" w:afterAutospacing="1" w:line="240" w:lineRule="auto"/>
              <w:rPr>
                <w:rFonts w:ascii="Arial" w:hAnsi="Arial" w:cs="Arial"/>
                <w:sz w:val="18"/>
                <w:szCs w:val="18"/>
              </w:rPr>
            </w:pPr>
          </w:p>
        </w:tc>
        <w:tc>
          <w:tcPr>
            <w:tcW w:w="1843" w:type="dxa"/>
          </w:tcPr>
          <w:p w14:paraId="78255D0B"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2268" w:type="dxa"/>
          </w:tcPr>
          <w:p w14:paraId="78255D0C"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1134" w:type="dxa"/>
          </w:tcPr>
          <w:p w14:paraId="78255D0D"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1134" w:type="dxa"/>
          </w:tcPr>
          <w:p w14:paraId="78255D0E"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1099" w:type="dxa"/>
          </w:tcPr>
          <w:p w14:paraId="78255D0F" w14:textId="77777777" w:rsidR="00154E7A" w:rsidRPr="00154E7A" w:rsidRDefault="00154E7A" w:rsidP="000E3341">
            <w:pPr>
              <w:spacing w:before="100" w:beforeAutospacing="1" w:after="100" w:afterAutospacing="1" w:line="240" w:lineRule="auto"/>
              <w:rPr>
                <w:rFonts w:ascii="Arial" w:hAnsi="Arial" w:cs="Arial"/>
                <w:sz w:val="18"/>
                <w:szCs w:val="18"/>
              </w:rPr>
            </w:pPr>
          </w:p>
        </w:tc>
      </w:tr>
      <w:tr w:rsidR="001F2FC5" w:rsidRPr="00154E7A" w14:paraId="78255D17" w14:textId="77777777" w:rsidTr="00154E7A">
        <w:tc>
          <w:tcPr>
            <w:tcW w:w="846" w:type="dxa"/>
          </w:tcPr>
          <w:p w14:paraId="78255D11"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1843" w:type="dxa"/>
          </w:tcPr>
          <w:p w14:paraId="78255D12"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2268" w:type="dxa"/>
          </w:tcPr>
          <w:p w14:paraId="78255D13"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1134" w:type="dxa"/>
          </w:tcPr>
          <w:p w14:paraId="78255D14"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1134" w:type="dxa"/>
          </w:tcPr>
          <w:p w14:paraId="78255D15" w14:textId="77777777" w:rsidR="00154E7A" w:rsidRPr="00154E7A" w:rsidRDefault="00154E7A" w:rsidP="000E3341">
            <w:pPr>
              <w:spacing w:before="100" w:beforeAutospacing="1" w:after="100" w:afterAutospacing="1" w:line="240" w:lineRule="auto"/>
              <w:rPr>
                <w:rFonts w:ascii="Arial" w:hAnsi="Arial" w:cs="Arial"/>
                <w:sz w:val="18"/>
                <w:szCs w:val="18"/>
              </w:rPr>
            </w:pPr>
          </w:p>
        </w:tc>
        <w:tc>
          <w:tcPr>
            <w:tcW w:w="1099" w:type="dxa"/>
          </w:tcPr>
          <w:p w14:paraId="78255D16" w14:textId="77777777" w:rsidR="00154E7A" w:rsidRPr="00154E7A" w:rsidRDefault="00154E7A" w:rsidP="000E3341">
            <w:pPr>
              <w:spacing w:before="100" w:beforeAutospacing="1" w:after="100" w:afterAutospacing="1" w:line="240" w:lineRule="auto"/>
              <w:rPr>
                <w:rFonts w:ascii="Arial" w:hAnsi="Arial" w:cs="Arial"/>
                <w:sz w:val="18"/>
                <w:szCs w:val="18"/>
              </w:rPr>
            </w:pPr>
          </w:p>
        </w:tc>
      </w:tr>
      <w:tr w:rsidR="00154E7A" w:rsidRPr="00154E7A" w14:paraId="78255D19" w14:textId="77777777" w:rsidTr="00154E7A">
        <w:tc>
          <w:tcPr>
            <w:tcW w:w="8324" w:type="dxa"/>
            <w:gridSpan w:val="6"/>
          </w:tcPr>
          <w:p w14:paraId="78255D18" w14:textId="77777777" w:rsidR="00154E7A" w:rsidRPr="00154E7A" w:rsidRDefault="00154E7A" w:rsidP="000E3341">
            <w:pPr>
              <w:spacing w:before="100" w:beforeAutospacing="1" w:after="100" w:afterAutospacing="1" w:line="240" w:lineRule="auto"/>
              <w:rPr>
                <w:rFonts w:ascii="Arial" w:hAnsi="Arial" w:cs="Arial"/>
                <w:sz w:val="18"/>
                <w:szCs w:val="18"/>
              </w:rPr>
            </w:pPr>
            <w:r w:rsidRPr="00154E7A">
              <w:rPr>
                <w:rFonts w:ascii="Arial" w:hAnsi="Arial" w:cs="Arial"/>
                <w:sz w:val="18"/>
                <w:szCs w:val="18"/>
              </w:rPr>
              <w:t>7. Berekening cijfer schoolexamen</w:t>
            </w:r>
          </w:p>
        </w:tc>
      </w:tr>
    </w:tbl>
    <w:p w14:paraId="78255D1A" w14:textId="77777777" w:rsidR="00154E7A" w:rsidRPr="00154E7A" w:rsidRDefault="00154E7A" w:rsidP="00154E7A">
      <w:pPr>
        <w:pStyle w:val="Kop2"/>
        <w:rPr>
          <w:rFonts w:ascii="Arial" w:eastAsia="Times New Roman" w:hAnsi="Arial" w:cs="Arial"/>
          <w:sz w:val="18"/>
          <w:szCs w:val="18"/>
          <w:lang w:eastAsia="nl-NL"/>
        </w:rPr>
      </w:pPr>
    </w:p>
    <w:p w14:paraId="78255D1B" w14:textId="77777777" w:rsidR="00154E7A" w:rsidRPr="00154E7A" w:rsidRDefault="00154E7A" w:rsidP="00154E7A">
      <w:pPr>
        <w:rPr>
          <w:i/>
          <w:sz w:val="18"/>
          <w:szCs w:val="18"/>
        </w:rPr>
      </w:pPr>
      <w:r w:rsidRPr="00154E7A">
        <w:rPr>
          <w:i/>
          <w:sz w:val="18"/>
          <w:szCs w:val="18"/>
        </w:rPr>
        <w:t>Toelichting</w:t>
      </w:r>
    </w:p>
    <w:p w14:paraId="78255D1C" w14:textId="77777777" w:rsidR="00154E7A" w:rsidRPr="00154E7A" w:rsidRDefault="00154E7A" w:rsidP="00154E7A">
      <w:pPr>
        <w:spacing w:before="100" w:beforeAutospacing="1" w:after="100" w:afterAutospacing="1" w:line="240" w:lineRule="auto"/>
        <w:rPr>
          <w:rFonts w:ascii="Arial" w:eastAsia="Times New Roman" w:hAnsi="Arial" w:cs="Arial"/>
          <w:sz w:val="18"/>
          <w:szCs w:val="18"/>
          <w:lang w:eastAsia="nl-NL"/>
        </w:rPr>
      </w:pPr>
      <w:r w:rsidRPr="00154E7A">
        <w:rPr>
          <w:rFonts w:ascii="Arial" w:eastAsia="Times New Roman" w:hAnsi="Arial" w:cs="Arial"/>
          <w:b/>
          <w:bCs/>
          <w:sz w:val="18"/>
          <w:szCs w:val="18"/>
          <w:lang w:eastAsia="nl-NL"/>
        </w:rPr>
        <w:t xml:space="preserve">1. Periode </w:t>
      </w:r>
      <w:r w:rsidRPr="00154E7A">
        <w:rPr>
          <w:rFonts w:ascii="Arial" w:eastAsia="Times New Roman" w:hAnsi="Arial" w:cs="Arial"/>
          <w:sz w:val="18"/>
          <w:szCs w:val="18"/>
          <w:lang w:eastAsia="nl-NL"/>
        </w:rPr>
        <w:br/>
        <w:t>Meestal staat hier de periode waarin de toets wordt afgenomen en de toetsweek. </w:t>
      </w:r>
      <w:r w:rsidRPr="00154E7A">
        <w:rPr>
          <w:rFonts w:ascii="Arial" w:eastAsia="Times New Roman" w:hAnsi="Arial" w:cs="Arial"/>
          <w:sz w:val="18"/>
          <w:szCs w:val="18"/>
          <w:lang w:eastAsia="nl-NL"/>
        </w:rPr>
        <w:br/>
        <w:t>Soms wordt er vanuit de school aangegeven wanneer de toetsen moeten plaatsvinden. Bijvoorbeeld: binnen school is er besloten om in de eindexamenklas drie (of vier) toetsperioden te reserveren. Soms worden alleen PTA-toetsen gegeven in de examenklassen. </w:t>
      </w:r>
    </w:p>
    <w:p w14:paraId="78255D1D" w14:textId="260E9BB8" w:rsidR="00154E7A" w:rsidRPr="00154E7A" w:rsidRDefault="00154E7A" w:rsidP="00154E7A">
      <w:pPr>
        <w:spacing w:before="100" w:beforeAutospacing="1" w:after="100" w:afterAutospacing="1" w:line="240" w:lineRule="auto"/>
        <w:rPr>
          <w:rFonts w:ascii="Arial" w:eastAsia="Times New Roman" w:hAnsi="Arial" w:cs="Arial"/>
          <w:sz w:val="18"/>
          <w:szCs w:val="18"/>
          <w:lang w:eastAsia="nl-NL"/>
        </w:rPr>
      </w:pPr>
      <w:r w:rsidRPr="00154E7A">
        <w:rPr>
          <w:rFonts w:ascii="Arial" w:eastAsia="Times New Roman" w:hAnsi="Arial" w:cs="Arial"/>
          <w:b/>
          <w:bCs/>
          <w:sz w:val="18"/>
          <w:szCs w:val="18"/>
          <w:lang w:eastAsia="nl-NL"/>
        </w:rPr>
        <w:t>2.</w:t>
      </w:r>
      <w:r w:rsidRPr="00154E7A">
        <w:rPr>
          <w:rFonts w:ascii="Arial" w:eastAsia="Times New Roman" w:hAnsi="Arial" w:cs="Arial"/>
          <w:sz w:val="18"/>
          <w:szCs w:val="18"/>
          <w:lang w:eastAsia="nl-NL"/>
        </w:rPr>
        <w:t xml:space="preserve"> </w:t>
      </w:r>
      <w:r w:rsidRPr="00154E7A">
        <w:rPr>
          <w:rFonts w:ascii="Arial" w:eastAsia="Times New Roman" w:hAnsi="Arial" w:cs="Arial"/>
          <w:b/>
          <w:sz w:val="18"/>
          <w:szCs w:val="18"/>
          <w:lang w:eastAsia="nl-NL"/>
        </w:rPr>
        <w:t xml:space="preserve">De verwijzing naar de </w:t>
      </w:r>
      <w:r w:rsidR="001F2FC5">
        <w:rPr>
          <w:rFonts w:ascii="Arial" w:eastAsia="Times New Roman" w:hAnsi="Arial" w:cs="Arial"/>
          <w:b/>
          <w:sz w:val="18"/>
          <w:szCs w:val="18"/>
          <w:lang w:eastAsia="nl-NL"/>
        </w:rPr>
        <w:t>eindtermen</w:t>
      </w:r>
      <w:r w:rsidRPr="00154E7A">
        <w:rPr>
          <w:rFonts w:ascii="Arial" w:eastAsia="Times New Roman" w:hAnsi="Arial" w:cs="Arial"/>
          <w:b/>
          <w:sz w:val="18"/>
          <w:szCs w:val="18"/>
          <w:lang w:eastAsia="nl-NL"/>
        </w:rPr>
        <w:t xml:space="preserve"> uit het examenprogramma</w:t>
      </w:r>
      <w:r w:rsidRPr="00154E7A">
        <w:rPr>
          <w:rFonts w:ascii="Arial" w:eastAsia="Times New Roman" w:hAnsi="Arial" w:cs="Arial"/>
          <w:b/>
          <w:sz w:val="18"/>
          <w:szCs w:val="18"/>
          <w:lang w:eastAsia="nl-NL"/>
        </w:rPr>
        <w:br/>
      </w:r>
      <w:r w:rsidRPr="00154E7A">
        <w:rPr>
          <w:rFonts w:ascii="Arial" w:eastAsia="Times New Roman" w:hAnsi="Arial" w:cs="Arial"/>
          <w:sz w:val="18"/>
          <w:szCs w:val="18"/>
          <w:lang w:eastAsia="nl-NL"/>
        </w:rPr>
        <w:t xml:space="preserve">Een schoolexamentoets mag geen betrekking hebben op leerstof die niet in het PTA is vermeld. In het PTA wordt verwezen naar de nummering van de </w:t>
      </w:r>
      <w:r w:rsidR="001F2FC5">
        <w:rPr>
          <w:rFonts w:ascii="Arial" w:eastAsia="Times New Roman" w:hAnsi="Arial" w:cs="Arial"/>
          <w:sz w:val="18"/>
          <w:szCs w:val="18"/>
          <w:lang w:eastAsia="nl-NL"/>
        </w:rPr>
        <w:t>eindtermen</w:t>
      </w:r>
      <w:r w:rsidRPr="00154E7A">
        <w:rPr>
          <w:rFonts w:ascii="Arial" w:eastAsia="Times New Roman" w:hAnsi="Arial" w:cs="Arial"/>
          <w:sz w:val="18"/>
          <w:szCs w:val="18"/>
          <w:lang w:eastAsia="nl-NL"/>
        </w:rPr>
        <w:t>, bijvoorbeeld deeltaak 1.3 punt 10. Zo is te controleren of alle (deel)taken, die volgens het examenprogramma getoetst moeten worden in het SE, ook inderdaad in het PTA zijn opgenomen.</w:t>
      </w:r>
      <w:r w:rsidRPr="00154E7A">
        <w:rPr>
          <w:rFonts w:ascii="Arial" w:eastAsia="Times New Roman" w:hAnsi="Arial" w:cs="Arial"/>
          <w:b/>
          <w:bCs/>
          <w:sz w:val="18"/>
          <w:szCs w:val="18"/>
          <w:lang w:eastAsia="nl-NL"/>
        </w:rPr>
        <w:t xml:space="preserve"> </w:t>
      </w:r>
    </w:p>
    <w:p w14:paraId="78255D1E" w14:textId="1246A7E8" w:rsidR="00154E7A" w:rsidRPr="00154E7A" w:rsidRDefault="00154E7A" w:rsidP="00154E7A">
      <w:pPr>
        <w:spacing w:before="100" w:beforeAutospacing="1" w:after="100" w:afterAutospacing="1" w:line="240" w:lineRule="auto"/>
        <w:rPr>
          <w:rFonts w:ascii="Arial" w:eastAsia="Times New Roman" w:hAnsi="Arial" w:cs="Arial"/>
          <w:b/>
          <w:bCs/>
          <w:sz w:val="18"/>
          <w:szCs w:val="18"/>
          <w:lang w:eastAsia="nl-NL"/>
        </w:rPr>
      </w:pPr>
      <w:r w:rsidRPr="00154E7A">
        <w:rPr>
          <w:rFonts w:ascii="Arial" w:eastAsia="Times New Roman" w:hAnsi="Arial" w:cs="Arial"/>
          <w:b/>
          <w:bCs/>
          <w:sz w:val="18"/>
          <w:szCs w:val="18"/>
          <w:lang w:eastAsia="nl-NL"/>
        </w:rPr>
        <w:t xml:space="preserve">3. Beschrijving van de </w:t>
      </w:r>
      <w:r w:rsidR="001F2FC5">
        <w:rPr>
          <w:rFonts w:ascii="Arial" w:eastAsia="Times New Roman" w:hAnsi="Arial" w:cs="Arial"/>
          <w:b/>
          <w:bCs/>
          <w:sz w:val="18"/>
          <w:szCs w:val="18"/>
          <w:lang w:eastAsia="nl-NL"/>
        </w:rPr>
        <w:t>onderwijsinhoud</w:t>
      </w:r>
      <w:r w:rsidRPr="00154E7A">
        <w:rPr>
          <w:rFonts w:ascii="Arial" w:eastAsia="Times New Roman" w:hAnsi="Arial" w:cs="Arial"/>
          <w:b/>
          <w:bCs/>
          <w:sz w:val="18"/>
          <w:szCs w:val="18"/>
          <w:lang w:eastAsia="nl-NL"/>
        </w:rPr>
        <w:br/>
      </w:r>
      <w:r w:rsidRPr="00154E7A">
        <w:rPr>
          <w:rFonts w:ascii="Arial" w:eastAsia="Times New Roman" w:hAnsi="Arial" w:cs="Arial"/>
          <w:sz w:val="18"/>
          <w:szCs w:val="18"/>
          <w:lang w:eastAsia="nl-NL"/>
        </w:rPr>
        <w:t>Voor de lee</w:t>
      </w:r>
      <w:r w:rsidR="001F2FC5">
        <w:rPr>
          <w:rFonts w:ascii="Arial" w:eastAsia="Times New Roman" w:hAnsi="Arial" w:cs="Arial"/>
          <w:sz w:val="18"/>
          <w:szCs w:val="18"/>
          <w:lang w:eastAsia="nl-NL"/>
        </w:rPr>
        <w:t xml:space="preserve">rlingen is het belangrijk de </w:t>
      </w:r>
      <w:r w:rsidRPr="00154E7A">
        <w:rPr>
          <w:rFonts w:ascii="Arial" w:eastAsia="Times New Roman" w:hAnsi="Arial" w:cs="Arial"/>
          <w:sz w:val="18"/>
          <w:szCs w:val="18"/>
          <w:lang w:eastAsia="nl-NL"/>
        </w:rPr>
        <w:t>inhoud</w:t>
      </w:r>
      <w:r w:rsidR="001F2FC5">
        <w:rPr>
          <w:rFonts w:ascii="Arial" w:eastAsia="Times New Roman" w:hAnsi="Arial" w:cs="Arial"/>
          <w:sz w:val="18"/>
          <w:szCs w:val="18"/>
          <w:lang w:eastAsia="nl-NL"/>
        </w:rPr>
        <w:t xml:space="preserve"> van het schoolexamen</w:t>
      </w:r>
      <w:r w:rsidRPr="00154E7A">
        <w:rPr>
          <w:rFonts w:ascii="Arial" w:eastAsia="Times New Roman" w:hAnsi="Arial" w:cs="Arial"/>
          <w:sz w:val="18"/>
          <w:szCs w:val="18"/>
          <w:lang w:eastAsia="nl-NL"/>
        </w:rPr>
        <w:t xml:space="preserve"> duidelijk te beschrijven. Daaruit kunnen zij afleiden waar de toets over gaat en welke onderdelen zij moeten bestuderen. Bijvoorbeeld: in het keuzevak 'bijzondere keuken' (K/HBR/6.2.1 en 6.2.2.) bereiden leerlingen </w:t>
      </w:r>
      <w:r>
        <w:rPr>
          <w:rFonts w:ascii="Arial" w:eastAsia="Times New Roman" w:hAnsi="Arial" w:cs="Arial"/>
          <w:sz w:val="18"/>
          <w:szCs w:val="18"/>
          <w:lang w:eastAsia="nl-NL"/>
        </w:rPr>
        <w:t>sushi</w:t>
      </w:r>
      <w:r w:rsidRPr="00154E7A">
        <w:rPr>
          <w:rFonts w:ascii="Arial" w:eastAsia="Times New Roman" w:hAnsi="Arial" w:cs="Arial"/>
          <w:sz w:val="18"/>
          <w:szCs w:val="18"/>
          <w:lang w:eastAsia="nl-NL"/>
        </w:rPr>
        <w:t xml:space="preserve">. Dit is een praktische opdracht van 100 minuten. </w:t>
      </w:r>
    </w:p>
    <w:p w14:paraId="78255D1F" w14:textId="77777777" w:rsidR="00154E7A" w:rsidRPr="00154E7A" w:rsidRDefault="00154E7A" w:rsidP="00154E7A">
      <w:pPr>
        <w:spacing w:before="100" w:beforeAutospacing="1" w:after="100" w:afterAutospacing="1" w:line="240" w:lineRule="auto"/>
        <w:rPr>
          <w:rFonts w:ascii="Arial" w:eastAsia="Times New Roman" w:hAnsi="Arial" w:cs="Arial"/>
          <w:sz w:val="18"/>
          <w:szCs w:val="18"/>
          <w:lang w:eastAsia="nl-NL"/>
        </w:rPr>
      </w:pPr>
      <w:r w:rsidRPr="00154E7A">
        <w:rPr>
          <w:rFonts w:ascii="Arial" w:eastAsia="Times New Roman" w:hAnsi="Arial" w:cs="Arial"/>
          <w:b/>
          <w:bCs/>
          <w:sz w:val="18"/>
          <w:szCs w:val="18"/>
          <w:lang w:eastAsia="nl-NL"/>
        </w:rPr>
        <w:t>3. De toetsvorm</w:t>
      </w:r>
      <w:r w:rsidRPr="00154E7A">
        <w:rPr>
          <w:rFonts w:ascii="Arial" w:eastAsia="Times New Roman" w:hAnsi="Arial" w:cs="Arial"/>
          <w:sz w:val="18"/>
          <w:szCs w:val="18"/>
          <w:lang w:eastAsia="nl-NL"/>
        </w:rPr>
        <w:br/>
        <w:t>Geef aan of de toets mondeling of schriftelijk wordt afgenomen, of dat er sprake is van een praktische opdracht (of een variant daarop). Voor de duidelijkheid is het handig de duur van de toets aan te geven in minuten.</w:t>
      </w:r>
    </w:p>
    <w:p w14:paraId="78255D20" w14:textId="74A16D96" w:rsidR="00154E7A" w:rsidRPr="00154E7A" w:rsidRDefault="001F2FC5" w:rsidP="00154E7A">
      <w:p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b/>
          <w:bCs/>
          <w:sz w:val="18"/>
          <w:szCs w:val="18"/>
          <w:lang w:eastAsia="nl-NL"/>
        </w:rPr>
        <w:t>5. De herkansing</w:t>
      </w:r>
      <w:r w:rsidR="00154E7A" w:rsidRPr="00154E7A">
        <w:rPr>
          <w:rFonts w:ascii="Arial" w:eastAsia="Times New Roman" w:hAnsi="Arial" w:cs="Arial"/>
          <w:b/>
          <w:bCs/>
          <w:sz w:val="18"/>
          <w:szCs w:val="18"/>
          <w:lang w:eastAsia="nl-NL"/>
        </w:rPr>
        <w:br/>
      </w:r>
      <w:r w:rsidR="00154E7A" w:rsidRPr="00154E7A">
        <w:rPr>
          <w:rFonts w:ascii="Arial" w:eastAsia="Times New Roman" w:hAnsi="Arial" w:cs="Arial"/>
          <w:sz w:val="18"/>
          <w:szCs w:val="18"/>
          <w:lang w:eastAsia="nl-NL"/>
        </w:rPr>
        <w:t xml:space="preserve">De herkansingsregeling kan ook in het algemene, voor alle leerlingen geldende, deel van het examenreglement worden opgenomen. Bijvoorbeeld: </w:t>
      </w:r>
      <w:r w:rsidR="00154E7A" w:rsidRPr="00154E7A">
        <w:rPr>
          <w:rFonts w:ascii="Arial" w:eastAsia="Times New Roman" w:hAnsi="Arial" w:cs="Arial"/>
          <w:i/>
          <w:sz w:val="18"/>
          <w:szCs w:val="18"/>
          <w:lang w:eastAsia="nl-NL"/>
        </w:rPr>
        <w:t>'3 keer per jaar mag je 2 toetsen herkansen'</w:t>
      </w:r>
      <w:r w:rsidR="00154E7A" w:rsidRPr="00154E7A">
        <w:rPr>
          <w:rFonts w:ascii="Arial" w:eastAsia="Times New Roman" w:hAnsi="Arial" w:cs="Arial"/>
          <w:sz w:val="18"/>
          <w:szCs w:val="18"/>
          <w:lang w:eastAsia="nl-NL"/>
        </w:rPr>
        <w:t>. Als toetsen niet herkansbaar zijn moet dat in het PTA duidelijk worden vermeld.</w:t>
      </w:r>
    </w:p>
    <w:p w14:paraId="78255D21" w14:textId="6CFB3552" w:rsidR="00154E7A" w:rsidRPr="00154E7A" w:rsidRDefault="001F2FC5" w:rsidP="00154E7A">
      <w:pPr>
        <w:spacing w:before="100" w:beforeAutospacing="1" w:after="100" w:afterAutospacing="1" w:line="240" w:lineRule="auto"/>
        <w:rPr>
          <w:rFonts w:ascii="Arial" w:eastAsia="Times New Roman" w:hAnsi="Arial" w:cs="Arial"/>
          <w:b/>
          <w:bCs/>
          <w:sz w:val="18"/>
          <w:szCs w:val="18"/>
          <w:lang w:eastAsia="nl-NL"/>
        </w:rPr>
      </w:pPr>
      <w:r>
        <w:rPr>
          <w:rFonts w:ascii="Arial" w:eastAsia="Times New Roman" w:hAnsi="Arial" w:cs="Arial"/>
          <w:b/>
          <w:sz w:val="18"/>
          <w:szCs w:val="18"/>
          <w:lang w:eastAsia="nl-NL"/>
        </w:rPr>
        <w:t>6. De weging</w:t>
      </w:r>
      <w:r w:rsidR="00154E7A" w:rsidRPr="00154E7A">
        <w:rPr>
          <w:rFonts w:ascii="Arial" w:eastAsia="Times New Roman" w:hAnsi="Arial" w:cs="Arial"/>
          <w:b/>
          <w:sz w:val="18"/>
          <w:szCs w:val="18"/>
          <w:lang w:eastAsia="nl-NL"/>
        </w:rPr>
        <w:br/>
      </w:r>
      <w:r w:rsidR="00154E7A" w:rsidRPr="00154E7A">
        <w:rPr>
          <w:rFonts w:ascii="Arial" w:eastAsia="Times New Roman" w:hAnsi="Arial" w:cs="Arial"/>
          <w:sz w:val="18"/>
          <w:szCs w:val="18"/>
          <w:lang w:eastAsia="nl-NL"/>
        </w:rPr>
        <w:t>Hier wordt aangegeven hoe</w:t>
      </w:r>
      <w:r>
        <w:rPr>
          <w:rFonts w:ascii="Arial" w:eastAsia="Times New Roman" w:hAnsi="Arial" w:cs="Arial"/>
          <w:sz w:val="18"/>
          <w:szCs w:val="18"/>
          <w:lang w:eastAsia="nl-NL"/>
        </w:rPr>
        <w:t xml:space="preserve"> zwaar elke toets meeweegt voor de berekening van het eindcijfer van het keuzevak.</w:t>
      </w:r>
      <w:r w:rsidR="00154E7A" w:rsidRPr="00154E7A">
        <w:rPr>
          <w:rFonts w:ascii="Arial" w:eastAsia="Times New Roman" w:hAnsi="Arial" w:cs="Arial"/>
          <w:b/>
          <w:sz w:val="18"/>
          <w:szCs w:val="18"/>
          <w:lang w:eastAsia="nl-NL"/>
        </w:rPr>
        <w:t xml:space="preserve"> </w:t>
      </w:r>
    </w:p>
    <w:p w14:paraId="78255D25" w14:textId="077CA391" w:rsidR="001F270A" w:rsidRPr="00154E7A" w:rsidRDefault="00154E7A" w:rsidP="001F2FC5">
      <w:pPr>
        <w:spacing w:before="100" w:beforeAutospacing="1" w:after="100" w:afterAutospacing="1" w:line="240" w:lineRule="auto"/>
        <w:rPr>
          <w:rFonts w:ascii="Arial" w:hAnsi="Arial" w:cs="Arial"/>
          <w:sz w:val="18"/>
          <w:szCs w:val="18"/>
        </w:rPr>
      </w:pPr>
      <w:r w:rsidRPr="00154E7A">
        <w:rPr>
          <w:rFonts w:ascii="Arial" w:eastAsia="Times New Roman" w:hAnsi="Arial" w:cs="Arial"/>
          <w:b/>
          <w:bCs/>
          <w:sz w:val="18"/>
          <w:szCs w:val="18"/>
          <w:lang w:eastAsia="nl-NL"/>
        </w:rPr>
        <w:t>7. Berekening cijfer schoolexamen</w:t>
      </w:r>
      <w:r w:rsidRPr="00154E7A">
        <w:rPr>
          <w:rFonts w:ascii="Arial" w:eastAsia="Times New Roman" w:hAnsi="Arial" w:cs="Arial"/>
          <w:b/>
          <w:bCs/>
          <w:sz w:val="18"/>
          <w:szCs w:val="18"/>
          <w:lang w:eastAsia="nl-NL"/>
        </w:rPr>
        <w:br/>
      </w:r>
      <w:r w:rsidRPr="00154E7A">
        <w:rPr>
          <w:rFonts w:ascii="Arial" w:eastAsia="Times New Roman" w:hAnsi="Arial" w:cs="Arial"/>
          <w:sz w:val="18"/>
          <w:szCs w:val="18"/>
          <w:lang w:eastAsia="nl-NL"/>
        </w:rPr>
        <w:t xml:space="preserve">Er zijn geen voorschriften met betrekking tot de weging van de toetsen. De sectie kan hierover zelf beslissen. </w:t>
      </w:r>
      <w:r w:rsidR="001F2FC5" w:rsidRPr="001F2FC5">
        <w:rPr>
          <w:rFonts w:ascii="Arial" w:eastAsia="Times New Roman" w:hAnsi="Arial" w:cs="Arial"/>
          <w:b/>
          <w:sz w:val="18"/>
          <w:szCs w:val="18"/>
          <w:lang w:eastAsia="nl-NL"/>
        </w:rPr>
        <w:t>Het SE-cijfer van de keuzevakken is een combinatiecijfer: (K1 + K2 + K3 + K4) / 4</w:t>
      </w:r>
    </w:p>
    <w:sectPr w:rsidR="001F270A" w:rsidRPr="00154E7A" w:rsidSect="00797460">
      <w:footerReference w:type="default" r:id="rId11"/>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55D28" w14:textId="77777777" w:rsidR="000C3B27" w:rsidRDefault="000C3B27">
      <w:r>
        <w:separator/>
      </w:r>
    </w:p>
  </w:endnote>
  <w:endnote w:type="continuationSeparator" w:id="0">
    <w:p w14:paraId="78255D29"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5D2A"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78255D2B" wp14:editId="78255D2C">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955C40">
      <w:rPr>
        <w:rStyle w:val="Paginanummer"/>
        <w:rFonts w:ascii="Arial" w:hAnsi="Arial" w:cs="Arial"/>
        <w:noProof/>
        <w:sz w:val="20"/>
        <w:szCs w:val="20"/>
      </w:rPr>
      <w:t>1</w:t>
    </w:r>
    <w:r w:rsidR="00A62CF2"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5D26" w14:textId="77777777" w:rsidR="000C3B27" w:rsidRDefault="000C3B27">
      <w:r>
        <w:separator/>
      </w:r>
    </w:p>
  </w:footnote>
  <w:footnote w:type="continuationSeparator" w:id="0">
    <w:p w14:paraId="78255D27" w14:textId="77777777"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54E7A"/>
    <w:rsid w:val="001615E3"/>
    <w:rsid w:val="00182A9A"/>
    <w:rsid w:val="001A565A"/>
    <w:rsid w:val="001F270A"/>
    <w:rsid w:val="001F2FC5"/>
    <w:rsid w:val="00227972"/>
    <w:rsid w:val="00235D22"/>
    <w:rsid w:val="003E0EA5"/>
    <w:rsid w:val="0068189E"/>
    <w:rsid w:val="006B2889"/>
    <w:rsid w:val="006F31B0"/>
    <w:rsid w:val="0070782B"/>
    <w:rsid w:val="00762834"/>
    <w:rsid w:val="00797460"/>
    <w:rsid w:val="007E5D9B"/>
    <w:rsid w:val="007F016D"/>
    <w:rsid w:val="008038A1"/>
    <w:rsid w:val="0088760E"/>
    <w:rsid w:val="00890B33"/>
    <w:rsid w:val="00955C40"/>
    <w:rsid w:val="00995FAA"/>
    <w:rsid w:val="009D59F7"/>
    <w:rsid w:val="00A560FF"/>
    <w:rsid w:val="00A62CF2"/>
    <w:rsid w:val="00CC3512"/>
    <w:rsid w:val="00CF1FD1"/>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255CF6"/>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154E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customStyle="1" w:styleId="Kop2Char">
    <w:name w:val="Kop 2 Char"/>
    <w:basedOn w:val="Standaardalinea-lettertype"/>
    <w:link w:val="Kop2"/>
    <w:uiPriority w:val="9"/>
    <w:rsid w:val="00154E7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bovenbouw</TermName>
          <TermId xmlns="http://schemas.microsoft.com/office/infopath/2007/PartnerControls">fdccae35-7556-475b-a572-e54364b7b067</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Schoolexamen</TermName>
          <TermId xmlns="http://schemas.microsoft.com/office/infopath/2007/PartnerControls">8c74a323-16bd-40ac-b9c6-e9b3d8e78c6a</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Beroepsgerichte vakken</TermName>
          <TermId xmlns="http://schemas.microsoft.com/office/infopath/2007/PartnerControls">c02d3ee2-408b-4a01-9bc8-4f1229189dda</TermId>
        </TermInfo>
      </Terms>
    </RepSection_0>
    <RepSummary xmlns="http://schemas.microsoft.com/sharepoint/v3" xsi:nil="true"/>
    <RepRelationOtherSloProjects xmlns="http://schemas.microsoft.com/sharepoint/v3" xsi:nil="true"/>
    <TaxCatchAll xmlns="7106a2ac-038a-457f-8b58-ec67130d9d6d">
      <Value>595</Value>
      <Value>592</Value>
      <Value>65</Value>
      <Value>115</Value>
      <Value>551</Value>
      <Value>68</Value>
      <Value>364</Value>
      <Value>187</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Alle beroepsgerichte sectoren</TermName>
          <TermId xmlns="http://schemas.microsoft.com/office/infopath/2007/PartnerControls">ef94dde8-beda-4963-8205-48786639c207</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Alle beroepsgerichte profielvakken</TermName>
          <TermId xmlns="http://schemas.microsoft.com/office/infopath/2007/PartnerControls">75fa238a-e2b9-427d-ad6b-784a3125240a</TermId>
        </TermInfo>
        <TermInfo xmlns="http://schemas.microsoft.com/office/infopath/2007/PartnerControls">
          <TermName xmlns="http://schemas.microsoft.com/office/infopath/2007/PartnerControls">Beroepsgericht keuzevak</TermName>
          <TermId xmlns="http://schemas.microsoft.com/office/infopath/2007/PartnerControls">b440b3c2-9096-40e4-87da-6818656793e5</TermId>
        </TermInfo>
      </Terms>
    </RepSubjectContent_0>
    <RepIsbn xmlns="http://schemas.microsoft.com/sharepoint/v3" xsi:nil="true"/>
    <RepAuthorInternal xmlns="http://schemas.microsoft.com/sharepoint/v3">
      <UserInfo>
        <DisplayName/>
        <AccountId xsi:nil="true"/>
        <AccountType/>
      </UserInfo>
    </RepAuthorInternal>
    <RepProjectName xmlns="http://schemas.microsoft.com/sharepoint/v3">Vernieuwing beroepsgerichte programma's</RepProjectName>
    <RepApaNotation xmlns="http://schemas.microsoft.com/sharepoint/v3" xsi:nil="true"/>
    <_dlc_DocId xmlns="7106a2ac-038a-457f-8b58-ec67130d9d6d">47XQ5P3E4USX-10-2858</_dlc_DocId>
    <_dlc_DocIdUrl xmlns="7106a2ac-038a-457f-8b58-ec67130d9d6d">
      <Url>https://cms-downloads.slo.nl/_layouts/15/DocIdRedir.aspx?ID=47XQ5P3E4USX-10-2858</Url>
      <Description>47XQ5P3E4USX-10-2858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92F0A-A70A-4FF8-ADD1-24C830EA6A17}"/>
</file>

<file path=customXml/itemProps2.xml><?xml version="1.0" encoding="utf-8"?>
<ds:datastoreItem xmlns:ds="http://schemas.openxmlformats.org/officeDocument/2006/customXml" ds:itemID="{07AC0FB0-8ABC-4054-8400-98AAC4281065}"/>
</file>

<file path=customXml/itemProps3.xml><?xml version="1.0" encoding="utf-8"?>
<ds:datastoreItem xmlns:ds="http://schemas.openxmlformats.org/officeDocument/2006/customXml" ds:itemID="{E508EB92-1CB0-4514-A752-06CFE7D546B7}"/>
</file>

<file path=customXml/itemProps4.xml><?xml version="1.0" encoding="utf-8"?>
<ds:datastoreItem xmlns:ds="http://schemas.openxmlformats.org/officeDocument/2006/customXml" ds:itemID="{791B8E14-F4B1-4C17-B5A9-470F760B0409}"/>
</file>

<file path=docProps/app.xml><?xml version="1.0" encoding="utf-8"?>
<Properties xmlns="http://schemas.openxmlformats.org/officeDocument/2006/extended-properties" xmlns:vt="http://schemas.openxmlformats.org/officeDocument/2006/docPropsVTypes">
  <Template>lesbrief.dotm</Template>
  <TotalTime>9</TotalTime>
  <Pages>1</Pages>
  <Words>373</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schrijven van een PTA</dc:title>
  <dc:creator>Jessica van der Veen</dc:creator>
  <cp:lastModifiedBy>Viola van Lanschot Hubrecht</cp:lastModifiedBy>
  <cp:revision>4</cp:revision>
  <cp:lastPrinted>2008-09-29T14:29:00Z</cp:lastPrinted>
  <dcterms:created xsi:type="dcterms:W3CDTF">2016-04-21T12:23:00Z</dcterms:created>
  <dcterms:modified xsi:type="dcterms:W3CDTF">2016-06-02T12:43:00Z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7dd1a185-f7f3-4f79-8a4b-5ede543cffe5</vt:lpwstr>
  </property>
  <property fmtid="{D5CDD505-2E9C-101B-9397-08002B2CF9AE}" pid="4" name="RepAreasOfExpertise">
    <vt:lpwstr>364;#Alle beroepsgerichte sectoren|ef94dde8-beda-4963-8205-48786639c207</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65;#Schoolexamen|8c74a323-16bd-40ac-b9c6-e9b3d8e78c6a</vt:lpwstr>
  </property>
  <property fmtid="{D5CDD505-2E9C-101B-9397-08002B2CF9AE}" pid="9" name="TaxKeywordTaxHTField">
    <vt:lpwstr/>
  </property>
  <property fmtid="{D5CDD505-2E9C-101B-9397-08002B2CF9AE}" pid="10" name="RepSection">
    <vt:lpwstr>115;#Beroepsgerichte vakken|c02d3ee2-408b-4a01-9bc8-4f1229189dda</vt:lpwstr>
  </property>
  <property fmtid="{D5CDD505-2E9C-101B-9397-08002B2CF9AE}" pid="11" name="RepAuthor">
    <vt:lpwstr/>
  </property>
  <property fmtid="{D5CDD505-2E9C-101B-9397-08002B2CF9AE}" pid="12" name="RepSubjectContent">
    <vt:lpwstr>592;#Alle beroepsgerichte profielvakken|75fa238a-e2b9-427d-ad6b-784a3125240a;#595;#Beroepsgericht keuzevak|b440b3c2-9096-40e4-87da-6818656793e5</vt:lpwstr>
  </property>
  <property fmtid="{D5CDD505-2E9C-101B-9397-08002B2CF9AE}" pid="13" name="RepSector">
    <vt:lpwstr>187;#Vmbo bovenbouw|fdccae35-7556-475b-a572-e54364b7b067</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