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1A" w:rsidRPr="005C2A1A" w:rsidRDefault="005C2A1A" w:rsidP="005C2A1A">
      <w:pPr>
        <w:rPr>
          <w:rFonts w:eastAsiaTheme="minorHAnsi" w:cstheme="minorBidi"/>
          <w:b/>
          <w:sz w:val="22"/>
          <w:szCs w:val="22"/>
          <w:lang w:eastAsia="en-US"/>
        </w:rPr>
      </w:pPr>
      <w:bookmarkStart w:id="0" w:name="_GoBack"/>
      <w:bookmarkEnd w:id="0"/>
      <w:r w:rsidRPr="005C2A1A">
        <w:rPr>
          <w:rFonts w:eastAsiaTheme="minorHAnsi" w:cstheme="minorBidi"/>
          <w:b/>
          <w:sz w:val="22"/>
          <w:szCs w:val="22"/>
          <w:lang w:eastAsia="en-US"/>
        </w:rPr>
        <w:t xml:space="preserve">Een instrumentarium voor determinatie in de theoretische leerweg van het vmbo </w:t>
      </w:r>
      <w:r w:rsidR="004D63DC">
        <w:rPr>
          <w:rFonts w:eastAsiaTheme="minorHAnsi" w:cstheme="minorBidi"/>
          <w:b/>
          <w:sz w:val="22"/>
          <w:szCs w:val="22"/>
          <w:lang w:eastAsia="en-US"/>
        </w:rPr>
        <w:br/>
      </w:r>
      <w:r w:rsidR="004D63DC">
        <w:rPr>
          <w:rFonts w:eastAsiaTheme="minorHAnsi" w:cstheme="minorBidi"/>
          <w:b/>
          <w:sz w:val="22"/>
          <w:szCs w:val="22"/>
          <w:lang w:eastAsia="en-US"/>
        </w:rPr>
        <w:br/>
      </w:r>
      <w:r w:rsidRPr="005C2A1A">
        <w:rPr>
          <w:rFonts w:eastAsiaTheme="minorHAnsi" w:cstheme="minorBidi"/>
          <w:b/>
          <w:sz w:val="22"/>
          <w:szCs w:val="22"/>
          <w:lang w:eastAsia="en-US"/>
        </w:rPr>
        <w:t xml:space="preserve">Toelichting voor docent en mentor </w:t>
      </w:r>
    </w:p>
    <w:p w:rsidR="005C2A1A" w:rsidRPr="005C2A1A" w:rsidRDefault="005C2A1A" w:rsidP="005C2A1A">
      <w:pPr>
        <w:overflowPunct/>
        <w:autoSpaceDE/>
        <w:autoSpaceDN/>
        <w:adjustRightInd/>
        <w:textAlignment w:val="auto"/>
        <w:rPr>
          <w:rFonts w:eastAsiaTheme="minorHAnsi" w:cs="Arial"/>
          <w:b/>
          <w:szCs w:val="18"/>
          <w:lang w:eastAsia="en-US"/>
        </w:rPr>
      </w:pP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r w:rsidRPr="005C2A1A">
        <w:rPr>
          <w:rFonts w:eastAsiaTheme="minorHAnsi" w:cs="Arial"/>
          <w:b/>
          <w:szCs w:val="18"/>
          <w:lang w:eastAsia="en-US"/>
        </w:rPr>
        <w:t>Waarom een determinatie-instrument voor de theoretische leerweg van het vmbo?</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r w:rsidRPr="005C2A1A">
        <w:rPr>
          <w:rFonts w:eastAsiaTheme="minorHAnsi" w:cs="Arial"/>
          <w:szCs w:val="18"/>
          <w:lang w:eastAsia="en-US"/>
        </w:rPr>
        <w:t xml:space="preserve">Vmbo-tl is een opleiding die voorbereidt op twee vervolgopleidingen: mbo en havo. Vmbo-tl-scholen en -afdelingen adviseren hun leerlingen aan het eind van het tweede leerjaar of in de loop van het derde of vierde leerjaar over de keuze van een vervolgopleiding. </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r w:rsidRPr="005C2A1A">
        <w:rPr>
          <w:rFonts w:eastAsiaTheme="minorHAnsi" w:cs="Arial"/>
          <w:szCs w:val="18"/>
          <w:lang w:eastAsia="en-US"/>
        </w:rPr>
        <w:t>Dit instrumentarium is bedoeld om</w:t>
      </w:r>
    </w:p>
    <w:p w:rsidR="005C2A1A" w:rsidRPr="005C2A1A" w:rsidRDefault="005C2A1A" w:rsidP="005C2A1A">
      <w:pPr>
        <w:numPr>
          <w:ilvl w:val="0"/>
          <w:numId w:val="4"/>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de leerling en de ouders te ondersteunen bij het maken van keuzes in de leerloopbaan, en</w:t>
      </w:r>
    </w:p>
    <w:p w:rsidR="005C2A1A" w:rsidRPr="005C2A1A" w:rsidRDefault="005C2A1A" w:rsidP="005C2A1A">
      <w:pPr>
        <w:numPr>
          <w:ilvl w:val="0"/>
          <w:numId w:val="4"/>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de school te ondersteunen bij het adviseren van leerlingen en ouders bij hun keuze.</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r w:rsidRPr="005C2A1A">
        <w:rPr>
          <w:rFonts w:eastAsiaTheme="minorHAnsi" w:cs="Arial"/>
          <w:szCs w:val="18"/>
          <w:lang w:eastAsia="en-US"/>
        </w:rPr>
        <w:t>Het kan daarnaast ook gebruikt worden bij beslissingen over de overgang van leerlingen van het ene naar het andere leerjaar.</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r w:rsidRPr="005C2A1A">
        <w:rPr>
          <w:rFonts w:eastAsiaTheme="minorHAnsi" w:cs="Arial"/>
          <w:b/>
          <w:szCs w:val="18"/>
          <w:lang w:eastAsia="en-US"/>
        </w:rPr>
        <w:t>Wat verstaan wij onder determinatie?</w:t>
      </w:r>
    </w:p>
    <w:p w:rsidR="005C2A1A" w:rsidRPr="005C2A1A" w:rsidRDefault="005C2A1A" w:rsidP="005C2A1A">
      <w:pPr>
        <w:overflowPunct/>
        <w:autoSpaceDE/>
        <w:autoSpaceDN/>
        <w:adjustRightInd/>
        <w:spacing w:line="276" w:lineRule="auto"/>
        <w:textAlignment w:val="auto"/>
        <w:rPr>
          <w:rFonts w:eastAsiaTheme="minorHAnsi" w:cs="Arial"/>
          <w:color w:val="000000"/>
          <w:szCs w:val="18"/>
          <w:lang w:eastAsia="en-US"/>
        </w:rPr>
      </w:pPr>
      <w:r w:rsidRPr="005C2A1A">
        <w:rPr>
          <w:rFonts w:eastAsiaTheme="minorHAnsi" w:cs="Arial"/>
          <w:color w:val="000000"/>
          <w:szCs w:val="18"/>
          <w:lang w:eastAsia="en-US"/>
        </w:rPr>
        <w:t xml:space="preserve">Determinatie zien wij als een doorlopend en transparant proces -  met rollen voor docenten, mentoren, leerling en ouders -  dat erop gericht is elke leerling een passende en perspectiefrijke plek in het vervolg van het onderwijs te geven. </w:t>
      </w: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r w:rsidRPr="005C2A1A">
        <w:rPr>
          <w:rFonts w:eastAsiaTheme="minorHAnsi" w:cs="Arial"/>
          <w:b/>
          <w:szCs w:val="18"/>
          <w:lang w:eastAsia="en-US"/>
        </w:rPr>
        <w:t>De reikwijdte van het instrumentarium</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r w:rsidRPr="005C2A1A">
        <w:rPr>
          <w:rFonts w:eastAsiaTheme="minorHAnsi" w:cs="Arial"/>
          <w:szCs w:val="18"/>
          <w:lang w:eastAsia="en-US"/>
        </w:rPr>
        <w:t xml:space="preserve">De kracht van het instrumentarium is dat het docenten en leerlingen op een transparante wijze kan helpen inzicht te krijgen in de leercapaciteiten en de leerhouding van de leerling. Andere aspecten zoals persoonskenmerken van leerlingen en ervaringen en inzichten opgedaan bij Loopbaanoriëntatie en begeleiding (LOB), komen hierin minder aan bod. Voor een goed afgewogen doorstroombeslissing is het wel van belang al deze aspecten in de communicatie over en met de leerling (en de ouders) te betrekken. De mentor kan hierbij een belangrijke coördinerende rol vervullen. </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r w:rsidRPr="005C2A1A">
        <w:rPr>
          <w:rFonts w:eastAsiaTheme="minorHAnsi" w:cs="Arial"/>
          <w:b/>
          <w:szCs w:val="18"/>
          <w:lang w:eastAsia="en-US"/>
        </w:rPr>
        <w:t>Geen havo- of mbo-(leerling)profielen</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r w:rsidRPr="005C2A1A">
        <w:rPr>
          <w:rFonts w:eastAsiaTheme="minorHAnsi" w:cs="Arial"/>
          <w:szCs w:val="18"/>
          <w:lang w:eastAsia="en-US"/>
        </w:rPr>
        <w:t xml:space="preserve">De competenties die havo's of mbo's bij binnenkomst van vmbo-tl-leerlingen in hun opleidingen relevant achten voor succes, ontlopen elkaar niet veel, zo blijkt uit diverse onderzoeken [Monnink, K. et al. (2010) en Rodenboog, M. et al. (2011)]. In beide vervolgopleidingen moeten leerlingen bijvoorbeeld hun werk kunnen plannen en organiseren, zelfstandig kunnen werken en zich mondeling en schriftelijk goed kunnen uitdrukken. Het opstellen van vastomlijnde leerlingprofielen, waaruit bij wijze van spreken in één oogopslag is af te leiden of een leerling meer geschikt is voor havo of voor mbo, is dan ook onhaalbaar.  </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r w:rsidRPr="005C2A1A">
        <w:rPr>
          <w:rFonts w:eastAsiaTheme="minorHAnsi" w:cs="Arial"/>
          <w:szCs w:val="18"/>
          <w:lang w:eastAsia="en-US"/>
        </w:rPr>
        <w:t>Dit instrumentarium vraagt van docenten om vanuit hun eigen vak naar de leerling te kijken en op basis daarvan een advies te formuleren. Het uiteindelijke advies van de school is geen optelsom van scores. Van belang is vooral het proces van communicatie waarbij gegevens en inzichten van de verschillende betrokkenen onderling worden gedeeld en gezamenlijk worden afgewogen, zodat er een zo helder mogelijk beeld van de leerling ontstaat. Op basis hiervan kan een advies worden gegeven.</w:t>
      </w: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r w:rsidRPr="005C2A1A">
        <w:rPr>
          <w:rFonts w:eastAsiaTheme="minorHAnsi" w:cs="Arial"/>
          <w:b/>
          <w:szCs w:val="18"/>
          <w:lang w:eastAsia="en-US"/>
        </w:rPr>
        <w:t>Waaruit bestaat het instrumentarium?</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r w:rsidRPr="005C2A1A">
        <w:rPr>
          <w:rFonts w:eastAsiaTheme="minorHAnsi" w:cstheme="minorBidi"/>
          <w:szCs w:val="18"/>
          <w:lang w:eastAsia="en-US"/>
        </w:rPr>
        <w:t xml:space="preserve">Het instrumentarium bevat vier varianten van een determinatie-instrument voor de docent en daarnaast een determinatieformulier voor de leerling. </w:t>
      </w:r>
      <w:r w:rsidRPr="005C2A1A">
        <w:rPr>
          <w:rFonts w:eastAsiaTheme="minorHAnsi" w:cs="Arial"/>
          <w:szCs w:val="18"/>
          <w:lang w:eastAsia="en-US"/>
        </w:rPr>
        <w:t xml:space="preserve">De vier varianten verschillen alleen op het onderdeel 'Vakspecifieke cognitieve ontwikkeling'; andere onderdelen zoals 'Leervaardigheid' en 'Leerhouding' zijn in alle varianten op dezelfde wijze uitgewerkt. </w:t>
      </w:r>
      <w:r w:rsidRPr="005C2A1A">
        <w:rPr>
          <w:rFonts w:eastAsiaTheme="minorHAnsi" w:cstheme="minorBidi"/>
          <w:szCs w:val="18"/>
          <w:lang w:eastAsia="en-US"/>
        </w:rPr>
        <w:t xml:space="preserve">De school kiest de variant die het beste bij haar past. </w:t>
      </w:r>
      <w:r w:rsidRPr="005C2A1A">
        <w:rPr>
          <w:rFonts w:eastAsiaTheme="minorHAnsi" w:cs="Arial"/>
          <w:szCs w:val="18"/>
          <w:lang w:eastAsia="en-US"/>
        </w:rPr>
        <w:t>De varianten zijn gebaseerd op:</w:t>
      </w:r>
    </w:p>
    <w:p w:rsidR="005C2A1A" w:rsidRPr="005C2A1A" w:rsidRDefault="005C2A1A" w:rsidP="005C2A1A">
      <w:pPr>
        <w:numPr>
          <w:ilvl w:val="1"/>
          <w:numId w:val="5"/>
        </w:numPr>
        <w:overflowPunct/>
        <w:autoSpaceDE/>
        <w:autoSpaceDN/>
        <w:adjustRightInd/>
        <w:spacing w:line="276" w:lineRule="auto"/>
        <w:ind w:left="364"/>
        <w:contextualSpacing/>
        <w:textAlignment w:val="auto"/>
        <w:rPr>
          <w:rFonts w:eastAsiaTheme="minorHAnsi" w:cs="Arial"/>
          <w:szCs w:val="18"/>
          <w:lang w:eastAsia="en-US"/>
        </w:rPr>
      </w:pPr>
      <w:r w:rsidRPr="005C2A1A">
        <w:rPr>
          <w:rFonts w:eastAsiaTheme="minorHAnsi" w:cs="Arial"/>
          <w:szCs w:val="18"/>
          <w:lang w:eastAsia="en-US"/>
        </w:rPr>
        <w:t>de gereviseerde taxonomie van Bloom</w:t>
      </w:r>
    </w:p>
    <w:p w:rsidR="005C2A1A" w:rsidRPr="005C2A1A" w:rsidRDefault="005C2A1A" w:rsidP="005C2A1A">
      <w:pPr>
        <w:numPr>
          <w:ilvl w:val="1"/>
          <w:numId w:val="5"/>
        </w:numPr>
        <w:overflowPunct/>
        <w:autoSpaceDE/>
        <w:autoSpaceDN/>
        <w:adjustRightInd/>
        <w:spacing w:line="276" w:lineRule="auto"/>
        <w:ind w:left="364"/>
        <w:contextualSpacing/>
        <w:textAlignment w:val="auto"/>
        <w:rPr>
          <w:rFonts w:eastAsiaTheme="minorHAnsi" w:cs="Arial"/>
          <w:szCs w:val="18"/>
          <w:lang w:eastAsia="en-US"/>
        </w:rPr>
      </w:pPr>
      <w:r w:rsidRPr="005C2A1A">
        <w:rPr>
          <w:rFonts w:eastAsiaTheme="minorHAnsi" w:cs="Arial"/>
          <w:szCs w:val="18"/>
          <w:lang w:eastAsia="en-US"/>
        </w:rPr>
        <w:t xml:space="preserve">de taxonomie van De Block </w:t>
      </w:r>
    </w:p>
    <w:p w:rsidR="005C2A1A" w:rsidRPr="005C2A1A" w:rsidRDefault="005C2A1A" w:rsidP="005C2A1A">
      <w:pPr>
        <w:numPr>
          <w:ilvl w:val="1"/>
          <w:numId w:val="5"/>
        </w:numPr>
        <w:overflowPunct/>
        <w:autoSpaceDE/>
        <w:autoSpaceDN/>
        <w:adjustRightInd/>
        <w:spacing w:line="276" w:lineRule="auto"/>
        <w:ind w:left="364"/>
        <w:contextualSpacing/>
        <w:textAlignment w:val="auto"/>
        <w:rPr>
          <w:rFonts w:eastAsiaTheme="minorHAnsi" w:cs="Arial"/>
          <w:szCs w:val="18"/>
          <w:lang w:eastAsia="en-US"/>
        </w:rPr>
      </w:pPr>
      <w:r w:rsidRPr="005C2A1A">
        <w:rPr>
          <w:rFonts w:eastAsiaTheme="minorHAnsi" w:cs="Arial"/>
          <w:szCs w:val="18"/>
          <w:lang w:eastAsia="en-US"/>
        </w:rPr>
        <w:t>OBIT van APS</w:t>
      </w:r>
    </w:p>
    <w:p w:rsidR="005C2A1A" w:rsidRPr="005C2A1A" w:rsidRDefault="005C2A1A" w:rsidP="005C2A1A">
      <w:pPr>
        <w:numPr>
          <w:ilvl w:val="1"/>
          <w:numId w:val="5"/>
        </w:numPr>
        <w:overflowPunct/>
        <w:autoSpaceDE/>
        <w:autoSpaceDN/>
        <w:adjustRightInd/>
        <w:spacing w:line="276" w:lineRule="auto"/>
        <w:ind w:left="364"/>
        <w:contextualSpacing/>
        <w:textAlignment w:val="auto"/>
        <w:rPr>
          <w:rFonts w:eastAsiaTheme="minorHAnsi" w:cs="Arial"/>
          <w:szCs w:val="18"/>
          <w:lang w:eastAsia="en-US"/>
        </w:rPr>
      </w:pPr>
      <w:r w:rsidRPr="005C2A1A">
        <w:rPr>
          <w:rFonts w:eastAsiaTheme="minorHAnsi" w:cs="Arial"/>
          <w:szCs w:val="18"/>
          <w:lang w:eastAsia="en-US"/>
        </w:rPr>
        <w:t>RTTI van Docentplus.</w:t>
      </w:r>
    </w:p>
    <w:p w:rsidR="005C2A1A" w:rsidRPr="005C2A1A" w:rsidRDefault="005C2A1A" w:rsidP="005C2A1A">
      <w:pPr>
        <w:overflowPunct/>
        <w:autoSpaceDE/>
        <w:autoSpaceDN/>
        <w:adjustRightInd/>
        <w:spacing w:line="276" w:lineRule="auto"/>
        <w:ind w:left="4"/>
        <w:textAlignment w:val="auto"/>
        <w:rPr>
          <w:rFonts w:eastAsiaTheme="minorHAnsi" w:cs="Arial"/>
          <w:szCs w:val="18"/>
          <w:lang w:eastAsia="en-US"/>
        </w:rPr>
      </w:pPr>
    </w:p>
    <w:p w:rsidR="005C2A1A" w:rsidRPr="005C2A1A" w:rsidRDefault="005C2A1A" w:rsidP="005C2A1A">
      <w:pPr>
        <w:overflowPunct/>
        <w:autoSpaceDE/>
        <w:autoSpaceDN/>
        <w:adjustRightInd/>
        <w:spacing w:line="276" w:lineRule="auto"/>
        <w:ind w:left="4"/>
        <w:textAlignment w:val="auto"/>
        <w:rPr>
          <w:rFonts w:eastAsiaTheme="minorHAnsi" w:cs="Arial"/>
          <w:szCs w:val="18"/>
          <w:lang w:eastAsia="en-US"/>
        </w:rPr>
      </w:pPr>
      <w:r w:rsidRPr="005C2A1A">
        <w:rPr>
          <w:rFonts w:eastAsiaTheme="minorHAnsi" w:cs="Arial"/>
          <w:szCs w:val="18"/>
          <w:lang w:eastAsia="en-US"/>
        </w:rPr>
        <w:t>Het determinatieformulier voor de leerling is een instrument waarmee de leerling zelf zijn leerhouding en leervaardigheden kan evalueren.</w:t>
      </w:r>
    </w:p>
    <w:p w:rsidR="005C2A1A" w:rsidRPr="005C2A1A" w:rsidRDefault="005C2A1A" w:rsidP="005C2A1A">
      <w:pPr>
        <w:overflowPunct/>
        <w:autoSpaceDE/>
        <w:autoSpaceDN/>
        <w:adjustRightInd/>
        <w:spacing w:line="276" w:lineRule="auto"/>
        <w:ind w:left="426"/>
        <w:textAlignment w:val="auto"/>
        <w:rPr>
          <w:rFonts w:eastAsiaTheme="minorHAnsi" w:cs="Arial"/>
          <w:szCs w:val="18"/>
          <w:lang w:eastAsia="en-US"/>
        </w:rPr>
      </w:pPr>
    </w:p>
    <w:p w:rsidR="005C2A1A" w:rsidRPr="005C2A1A" w:rsidRDefault="005C2A1A" w:rsidP="005C2A1A">
      <w:pPr>
        <w:overflowPunct/>
        <w:spacing w:line="276" w:lineRule="auto"/>
        <w:contextualSpacing/>
        <w:textAlignment w:val="auto"/>
        <w:rPr>
          <w:rFonts w:eastAsiaTheme="minorHAnsi" w:cs="Arial"/>
          <w:b/>
          <w:szCs w:val="18"/>
          <w:lang w:eastAsia="en-US"/>
        </w:rPr>
      </w:pPr>
      <w:r w:rsidRPr="005C2A1A">
        <w:rPr>
          <w:rFonts w:eastAsiaTheme="minorHAnsi" w:cs="Arial"/>
          <w:b/>
          <w:szCs w:val="18"/>
          <w:lang w:eastAsia="en-US"/>
        </w:rPr>
        <w:t>Inhoud van het determinatie-instrumentarium</w:t>
      </w:r>
    </w:p>
    <w:p w:rsidR="005C2A1A" w:rsidRPr="005C2A1A" w:rsidRDefault="005C2A1A" w:rsidP="005C2A1A">
      <w:pPr>
        <w:overflowPunct/>
        <w:spacing w:line="276" w:lineRule="auto"/>
        <w:contextualSpacing/>
        <w:textAlignment w:val="auto"/>
        <w:rPr>
          <w:rFonts w:eastAsiaTheme="minorHAnsi" w:cs="Arial"/>
          <w:szCs w:val="18"/>
          <w:lang w:eastAsia="en-US"/>
        </w:rPr>
      </w:pPr>
      <w:r w:rsidRPr="005C2A1A">
        <w:rPr>
          <w:rFonts w:eastAsiaTheme="minorHAnsi" w:cs="Arial"/>
          <w:szCs w:val="18"/>
          <w:lang w:eastAsia="en-US"/>
        </w:rPr>
        <w:t>De varianten voor de docent zijn opgebouwd uit vijf categorieën:</w:t>
      </w:r>
    </w:p>
    <w:p w:rsidR="005C2A1A" w:rsidRPr="005C2A1A" w:rsidRDefault="005C2A1A" w:rsidP="005C2A1A">
      <w:pPr>
        <w:numPr>
          <w:ilvl w:val="0"/>
          <w:numId w:val="6"/>
        </w:numPr>
        <w:overflowPunct/>
        <w:autoSpaceDE/>
        <w:autoSpaceDN/>
        <w:adjustRightInd/>
        <w:spacing w:line="276" w:lineRule="auto"/>
        <w:ind w:left="378"/>
        <w:contextualSpacing/>
        <w:textAlignment w:val="auto"/>
        <w:rPr>
          <w:rFonts w:eastAsiaTheme="minorHAnsi" w:cs="Arial"/>
          <w:szCs w:val="18"/>
          <w:lang w:eastAsia="en-US"/>
        </w:rPr>
      </w:pPr>
      <w:r w:rsidRPr="005C2A1A">
        <w:rPr>
          <w:rFonts w:eastAsiaTheme="minorHAnsi" w:cs="Arial"/>
          <w:szCs w:val="18"/>
          <w:lang w:eastAsia="en-US"/>
        </w:rPr>
        <w:t>Vakspecifieke cognitieve ontwikkeling</w:t>
      </w:r>
    </w:p>
    <w:p w:rsidR="005C2A1A" w:rsidRPr="005C2A1A" w:rsidRDefault="005C2A1A" w:rsidP="005C2A1A">
      <w:pPr>
        <w:numPr>
          <w:ilvl w:val="0"/>
          <w:numId w:val="6"/>
        </w:numPr>
        <w:overflowPunct/>
        <w:autoSpaceDE/>
        <w:autoSpaceDN/>
        <w:adjustRightInd/>
        <w:spacing w:line="276" w:lineRule="auto"/>
        <w:ind w:left="378"/>
        <w:contextualSpacing/>
        <w:textAlignment w:val="auto"/>
        <w:rPr>
          <w:rFonts w:eastAsiaTheme="minorHAnsi" w:cs="Arial"/>
          <w:szCs w:val="18"/>
          <w:lang w:eastAsia="en-US"/>
        </w:rPr>
      </w:pPr>
      <w:r w:rsidRPr="005C2A1A">
        <w:rPr>
          <w:rFonts w:eastAsiaTheme="minorHAnsi" w:cs="Arial"/>
          <w:szCs w:val="18"/>
          <w:lang w:eastAsia="en-US"/>
        </w:rPr>
        <w:t>Leervaardigheid</w:t>
      </w:r>
    </w:p>
    <w:p w:rsidR="005C2A1A" w:rsidRPr="005C2A1A" w:rsidRDefault="005C2A1A" w:rsidP="005C2A1A">
      <w:pPr>
        <w:numPr>
          <w:ilvl w:val="0"/>
          <w:numId w:val="6"/>
        </w:numPr>
        <w:overflowPunct/>
        <w:autoSpaceDE/>
        <w:autoSpaceDN/>
        <w:adjustRightInd/>
        <w:spacing w:line="276" w:lineRule="auto"/>
        <w:ind w:left="378"/>
        <w:contextualSpacing/>
        <w:textAlignment w:val="auto"/>
        <w:rPr>
          <w:rFonts w:eastAsiaTheme="minorHAnsi" w:cs="Arial"/>
          <w:szCs w:val="18"/>
          <w:lang w:eastAsia="en-US"/>
        </w:rPr>
      </w:pPr>
      <w:r w:rsidRPr="005C2A1A">
        <w:rPr>
          <w:rFonts w:eastAsiaTheme="minorHAnsi" w:cs="Arial"/>
          <w:szCs w:val="18"/>
          <w:lang w:eastAsia="en-US"/>
        </w:rPr>
        <w:t>Andere vaardigheden</w:t>
      </w:r>
    </w:p>
    <w:p w:rsidR="005C2A1A" w:rsidRPr="005C2A1A" w:rsidRDefault="005C2A1A" w:rsidP="005C2A1A">
      <w:pPr>
        <w:numPr>
          <w:ilvl w:val="0"/>
          <w:numId w:val="6"/>
        </w:numPr>
        <w:overflowPunct/>
        <w:autoSpaceDE/>
        <w:autoSpaceDN/>
        <w:adjustRightInd/>
        <w:spacing w:line="276" w:lineRule="auto"/>
        <w:ind w:left="378"/>
        <w:contextualSpacing/>
        <w:textAlignment w:val="auto"/>
        <w:rPr>
          <w:rFonts w:eastAsiaTheme="minorHAnsi" w:cs="Arial"/>
          <w:szCs w:val="18"/>
          <w:lang w:eastAsia="en-US"/>
        </w:rPr>
      </w:pPr>
      <w:r w:rsidRPr="005C2A1A">
        <w:rPr>
          <w:rFonts w:eastAsiaTheme="minorHAnsi" w:cs="Arial"/>
          <w:szCs w:val="18"/>
          <w:lang w:eastAsia="en-US"/>
        </w:rPr>
        <w:t>Leerhouding</w:t>
      </w:r>
    </w:p>
    <w:p w:rsidR="005C2A1A" w:rsidRPr="005C2A1A" w:rsidRDefault="005C2A1A" w:rsidP="005C2A1A">
      <w:pPr>
        <w:numPr>
          <w:ilvl w:val="0"/>
          <w:numId w:val="6"/>
        </w:numPr>
        <w:overflowPunct/>
        <w:autoSpaceDE/>
        <w:autoSpaceDN/>
        <w:adjustRightInd/>
        <w:spacing w:line="276" w:lineRule="auto"/>
        <w:ind w:left="378"/>
        <w:contextualSpacing/>
        <w:textAlignment w:val="auto"/>
        <w:rPr>
          <w:rFonts w:eastAsiaTheme="minorHAnsi" w:cs="Arial"/>
          <w:szCs w:val="18"/>
          <w:lang w:eastAsia="en-US"/>
        </w:rPr>
      </w:pPr>
      <w:r w:rsidRPr="005C2A1A">
        <w:rPr>
          <w:rFonts w:eastAsiaTheme="minorHAnsi" w:cs="Arial"/>
          <w:szCs w:val="18"/>
          <w:lang w:eastAsia="en-US"/>
        </w:rPr>
        <w:t>Laatste rapportcijfer.</w:t>
      </w:r>
    </w:p>
    <w:p w:rsidR="005C2A1A" w:rsidRPr="005C2A1A" w:rsidRDefault="005C2A1A" w:rsidP="005C2A1A">
      <w:pPr>
        <w:overflowPunct/>
        <w:spacing w:line="276" w:lineRule="auto"/>
        <w:ind w:left="426"/>
        <w:contextualSpacing/>
        <w:textAlignment w:val="auto"/>
        <w:rPr>
          <w:rFonts w:eastAsiaTheme="minorHAnsi" w:cs="Arial"/>
          <w:b/>
          <w:szCs w:val="18"/>
          <w:lang w:eastAsia="en-US"/>
        </w:rPr>
      </w:pPr>
    </w:p>
    <w:p w:rsidR="005C2A1A" w:rsidRPr="005C2A1A" w:rsidRDefault="005C2A1A" w:rsidP="005C2A1A">
      <w:pPr>
        <w:overflowPunct/>
        <w:spacing w:line="276" w:lineRule="auto"/>
        <w:contextualSpacing/>
        <w:textAlignment w:val="auto"/>
        <w:rPr>
          <w:rFonts w:eastAsiaTheme="minorHAnsi" w:cs="Arial"/>
          <w:szCs w:val="18"/>
          <w:lang w:eastAsia="en-US"/>
        </w:rPr>
      </w:pPr>
      <w:r w:rsidRPr="005C2A1A">
        <w:rPr>
          <w:rFonts w:eastAsiaTheme="minorHAnsi" w:cs="Arial"/>
          <w:szCs w:val="18"/>
          <w:lang w:eastAsia="en-US"/>
        </w:rPr>
        <w:t>Het determinatieformulier voor de leerling bestaat eveneens uit vijf categorieën:</w:t>
      </w:r>
    </w:p>
    <w:p w:rsidR="005C2A1A" w:rsidRPr="005C2A1A" w:rsidRDefault="005C2A1A" w:rsidP="005C2A1A">
      <w:pPr>
        <w:numPr>
          <w:ilvl w:val="0"/>
          <w:numId w:val="7"/>
        </w:numPr>
        <w:overflowPunct/>
        <w:autoSpaceDE/>
        <w:autoSpaceDN/>
        <w:adjustRightInd/>
        <w:spacing w:line="276" w:lineRule="auto"/>
        <w:ind w:left="350"/>
        <w:contextualSpacing/>
        <w:textAlignment w:val="auto"/>
        <w:rPr>
          <w:rFonts w:eastAsiaTheme="minorHAnsi" w:cs="Arial"/>
          <w:szCs w:val="18"/>
          <w:lang w:eastAsia="en-US"/>
        </w:rPr>
      </w:pPr>
      <w:r w:rsidRPr="005C2A1A">
        <w:rPr>
          <w:rFonts w:eastAsiaTheme="minorHAnsi" w:cs="Arial"/>
          <w:szCs w:val="18"/>
          <w:lang w:eastAsia="en-US"/>
        </w:rPr>
        <w:t>Leerhouding bij de vakken</w:t>
      </w:r>
    </w:p>
    <w:p w:rsidR="005C2A1A" w:rsidRPr="005C2A1A" w:rsidRDefault="005C2A1A" w:rsidP="005C2A1A">
      <w:pPr>
        <w:numPr>
          <w:ilvl w:val="0"/>
          <w:numId w:val="7"/>
        </w:numPr>
        <w:overflowPunct/>
        <w:autoSpaceDE/>
        <w:autoSpaceDN/>
        <w:adjustRightInd/>
        <w:spacing w:line="276" w:lineRule="auto"/>
        <w:ind w:left="350"/>
        <w:contextualSpacing/>
        <w:textAlignment w:val="auto"/>
        <w:rPr>
          <w:rFonts w:eastAsiaTheme="minorHAnsi" w:cs="Arial"/>
          <w:szCs w:val="18"/>
          <w:lang w:eastAsia="en-US"/>
        </w:rPr>
      </w:pPr>
      <w:r w:rsidRPr="005C2A1A">
        <w:rPr>
          <w:rFonts w:eastAsiaTheme="minorHAnsi" w:cs="Arial"/>
          <w:szCs w:val="18"/>
          <w:lang w:eastAsia="en-US"/>
        </w:rPr>
        <w:t>Leervaardigheid</w:t>
      </w:r>
    </w:p>
    <w:p w:rsidR="005C2A1A" w:rsidRPr="005C2A1A" w:rsidRDefault="005C2A1A" w:rsidP="005C2A1A">
      <w:pPr>
        <w:numPr>
          <w:ilvl w:val="0"/>
          <w:numId w:val="7"/>
        </w:numPr>
        <w:overflowPunct/>
        <w:autoSpaceDE/>
        <w:autoSpaceDN/>
        <w:adjustRightInd/>
        <w:spacing w:line="276" w:lineRule="auto"/>
        <w:ind w:left="350"/>
        <w:contextualSpacing/>
        <w:textAlignment w:val="auto"/>
        <w:rPr>
          <w:rFonts w:eastAsiaTheme="minorHAnsi" w:cs="Arial"/>
          <w:szCs w:val="18"/>
          <w:lang w:eastAsia="en-US"/>
        </w:rPr>
      </w:pPr>
      <w:r w:rsidRPr="005C2A1A">
        <w:rPr>
          <w:rFonts w:eastAsiaTheme="minorHAnsi" w:cs="Arial"/>
          <w:szCs w:val="18"/>
          <w:lang w:eastAsia="en-US"/>
        </w:rPr>
        <w:t xml:space="preserve">Andere vaardigheden </w:t>
      </w:r>
    </w:p>
    <w:p w:rsidR="005C2A1A" w:rsidRPr="005C2A1A" w:rsidRDefault="005C2A1A" w:rsidP="005C2A1A">
      <w:pPr>
        <w:numPr>
          <w:ilvl w:val="0"/>
          <w:numId w:val="7"/>
        </w:numPr>
        <w:overflowPunct/>
        <w:autoSpaceDE/>
        <w:autoSpaceDN/>
        <w:adjustRightInd/>
        <w:spacing w:line="276" w:lineRule="auto"/>
        <w:ind w:left="350"/>
        <w:contextualSpacing/>
        <w:textAlignment w:val="auto"/>
        <w:rPr>
          <w:rFonts w:eastAsiaTheme="minorHAnsi" w:cs="Arial"/>
          <w:szCs w:val="18"/>
          <w:lang w:eastAsia="en-US"/>
        </w:rPr>
      </w:pPr>
      <w:r w:rsidRPr="005C2A1A">
        <w:rPr>
          <w:rFonts w:eastAsiaTheme="minorHAnsi" w:cs="Arial"/>
          <w:szCs w:val="18"/>
          <w:lang w:eastAsia="en-US"/>
        </w:rPr>
        <w:t>Verklaring voor behaalde cijfers</w:t>
      </w:r>
    </w:p>
    <w:p w:rsidR="005C2A1A" w:rsidRPr="005C2A1A" w:rsidRDefault="005C2A1A" w:rsidP="005C2A1A">
      <w:pPr>
        <w:numPr>
          <w:ilvl w:val="0"/>
          <w:numId w:val="7"/>
        </w:numPr>
        <w:overflowPunct/>
        <w:autoSpaceDE/>
        <w:autoSpaceDN/>
        <w:adjustRightInd/>
        <w:spacing w:line="276" w:lineRule="auto"/>
        <w:ind w:left="350"/>
        <w:contextualSpacing/>
        <w:textAlignment w:val="auto"/>
        <w:rPr>
          <w:rFonts w:eastAsiaTheme="minorHAnsi" w:cs="Arial"/>
          <w:szCs w:val="18"/>
          <w:lang w:eastAsia="en-US"/>
        </w:rPr>
      </w:pPr>
      <w:r w:rsidRPr="005C2A1A">
        <w:rPr>
          <w:rFonts w:eastAsiaTheme="minorHAnsi" w:cs="Arial"/>
          <w:szCs w:val="18"/>
          <w:lang w:eastAsia="en-US"/>
        </w:rPr>
        <w:t>Vervolgopleiding.</w:t>
      </w:r>
    </w:p>
    <w:p w:rsidR="005C2A1A" w:rsidRPr="005C2A1A" w:rsidRDefault="005C2A1A" w:rsidP="005C2A1A">
      <w:pPr>
        <w:overflowPunct/>
        <w:spacing w:line="276" w:lineRule="auto"/>
        <w:textAlignment w:val="auto"/>
        <w:rPr>
          <w:rFonts w:eastAsiaTheme="minorHAnsi" w:cs="Arial"/>
          <w:szCs w:val="18"/>
          <w:lang w:eastAsia="en-US"/>
        </w:rPr>
      </w:pPr>
      <w:r w:rsidRPr="005C2A1A">
        <w:rPr>
          <w:rFonts w:eastAsiaTheme="minorHAnsi" w:cs="Arial"/>
          <w:szCs w:val="18"/>
          <w:lang w:eastAsia="en-US"/>
        </w:rPr>
        <w:t xml:space="preserve">Voor alle categorieën zijn zogenaamde determinanten uitgewerkt, aspecten die bij de determinatie een rol kunnen spelen. In de instrumenten voor docent en leerling zijn zoveel mogelijk vergelijkbare determinanten opgenomen. </w:t>
      </w: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p>
    <w:p w:rsidR="005C2A1A" w:rsidRPr="005C2A1A" w:rsidRDefault="005C2A1A" w:rsidP="005C2A1A">
      <w:pPr>
        <w:overflowPunct/>
        <w:spacing w:line="276" w:lineRule="auto"/>
        <w:contextualSpacing/>
        <w:textAlignment w:val="auto"/>
        <w:rPr>
          <w:rFonts w:eastAsiaTheme="minorHAnsi" w:cs="Arial"/>
          <w:b/>
          <w:szCs w:val="18"/>
          <w:lang w:eastAsia="en-US"/>
        </w:rPr>
      </w:pPr>
      <w:r w:rsidRPr="005C2A1A">
        <w:rPr>
          <w:rFonts w:eastAsiaTheme="minorHAnsi" w:cs="Arial"/>
          <w:b/>
          <w:szCs w:val="18"/>
          <w:lang w:eastAsia="en-US"/>
        </w:rPr>
        <w:t>Uitgangspunten bij het gebruik van de instrumenten</w:t>
      </w:r>
    </w:p>
    <w:p w:rsidR="005C2A1A" w:rsidRPr="005C2A1A" w:rsidRDefault="005C2A1A" w:rsidP="005C2A1A">
      <w:pPr>
        <w:numPr>
          <w:ilvl w:val="0"/>
          <w:numId w:val="3"/>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De school bepaalt of het instrument wordt ingezet om álle leerlingen te determineren of dat het aleen voor bepaalde leerlingen wordt gebruikt. Het laatste kan aan de orde zijn wanneer docenten, ouders of leerlingen twijfelen over de te maken keuze in de vervolgopleiding of wanneer docenten enerzijds en leerling en/of ouders anderzijds verschillende opvattingen hebben over de vervolgroute.</w:t>
      </w:r>
    </w:p>
    <w:p w:rsidR="005C2A1A" w:rsidRPr="005C2A1A" w:rsidRDefault="005C2A1A" w:rsidP="005C2A1A">
      <w:pPr>
        <w:numPr>
          <w:ilvl w:val="0"/>
          <w:numId w:val="3"/>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 xml:space="preserve">De school stelt een procedure vast die helder en eenduidig is. In de procedure zijn er rollen voor de docenten, de mentor, de leerling en de ouders. </w:t>
      </w:r>
    </w:p>
    <w:p w:rsidR="005C2A1A" w:rsidRPr="005C2A1A" w:rsidRDefault="005C2A1A" w:rsidP="005C2A1A">
      <w:pPr>
        <w:numPr>
          <w:ilvl w:val="0"/>
          <w:numId w:val="3"/>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 xml:space="preserve">Bij de procedure wordt ervan uitgegaan dat docenten het determinatie-instrument voor de docent invullen en dat daarnaast de leerling het determinatieformulier voor de leerling invult. </w:t>
      </w:r>
    </w:p>
    <w:p w:rsidR="005C2A1A" w:rsidRPr="005C2A1A" w:rsidRDefault="005C2A1A" w:rsidP="005C2A1A">
      <w:pPr>
        <w:numPr>
          <w:ilvl w:val="0"/>
          <w:numId w:val="1"/>
        </w:numPr>
        <w:overflowPunct/>
        <w:autoSpaceDE/>
        <w:autoSpaceDN/>
        <w:adjustRightInd/>
        <w:spacing w:after="200" w:line="276" w:lineRule="auto"/>
        <w:contextualSpacing/>
        <w:textAlignment w:val="auto"/>
        <w:rPr>
          <w:rFonts w:eastAsiaTheme="minorHAnsi" w:cs="Arial"/>
          <w:szCs w:val="18"/>
          <w:lang w:eastAsia="en-US"/>
        </w:rPr>
      </w:pPr>
      <w:r w:rsidRPr="005C2A1A">
        <w:rPr>
          <w:rFonts w:eastAsiaTheme="minorHAnsi" w:cs="Arial"/>
          <w:szCs w:val="18"/>
          <w:lang w:eastAsia="en-US"/>
        </w:rPr>
        <w:t xml:space="preserve">De docenten vullen het determinatie-instrument in vanuit het perspectief van hun vak. Zij doen dit op basis van (toets)resultaten en op basis van waarnemingen over het leergedrag (omgaan met kennis, houding en vaardigheden) van de leerling. </w:t>
      </w:r>
    </w:p>
    <w:p w:rsidR="005C2A1A" w:rsidRPr="005C2A1A" w:rsidRDefault="005C2A1A" w:rsidP="005C2A1A">
      <w:pPr>
        <w:numPr>
          <w:ilvl w:val="0"/>
          <w:numId w:val="1"/>
        </w:numPr>
        <w:overflowPunct/>
        <w:autoSpaceDE/>
        <w:autoSpaceDN/>
        <w:adjustRightInd/>
        <w:spacing w:after="200" w:line="276" w:lineRule="auto"/>
        <w:contextualSpacing/>
        <w:textAlignment w:val="auto"/>
        <w:rPr>
          <w:rFonts w:eastAsiaTheme="minorHAnsi" w:cs="Arial"/>
          <w:szCs w:val="18"/>
          <w:lang w:eastAsia="en-US"/>
        </w:rPr>
      </w:pPr>
      <w:r w:rsidRPr="005C2A1A">
        <w:rPr>
          <w:rFonts w:eastAsiaTheme="minorHAnsi" w:cs="Arial"/>
          <w:szCs w:val="18"/>
          <w:lang w:eastAsia="en-US"/>
        </w:rPr>
        <w:t xml:space="preserve">Bij de varianten van het determinatie-instrument die zijn gebaseerd op RTTI en OBIT wordt ervan uitgegaan dat de school voorafgaand aan het gebruik hiervan gerichte feedback en acties voor docent en leerling heeft ingezet om het potentieel van de leerling optimaal te benutten. </w:t>
      </w:r>
    </w:p>
    <w:p w:rsidR="005C2A1A" w:rsidRPr="005C2A1A" w:rsidRDefault="005C2A1A" w:rsidP="005C2A1A">
      <w:pPr>
        <w:overflowPunct/>
        <w:spacing w:after="200" w:line="276" w:lineRule="auto"/>
        <w:ind w:left="360"/>
        <w:contextualSpacing/>
        <w:textAlignment w:val="auto"/>
        <w:rPr>
          <w:rFonts w:eastAsiaTheme="minorHAnsi" w:cs="Arial"/>
          <w:szCs w:val="18"/>
          <w:lang w:eastAsia="en-US"/>
        </w:rPr>
      </w:pPr>
      <w:r w:rsidRPr="005C2A1A">
        <w:rPr>
          <w:rFonts w:eastAsiaTheme="minorHAnsi" w:cs="Arial"/>
          <w:szCs w:val="18"/>
          <w:lang w:eastAsia="en-US"/>
        </w:rPr>
        <w:t xml:space="preserve">Ook bij de determinatievarianten die gebaseerd zijn op de taxonomie van Bloom of van De Block is het zinvol om te bezien hoe deze modellen verder in het proces van leren en toetsen gehanteerd kunnen worden. </w:t>
      </w:r>
    </w:p>
    <w:p w:rsidR="005C2A1A" w:rsidRPr="005C2A1A" w:rsidRDefault="005C2A1A" w:rsidP="005C2A1A">
      <w:pPr>
        <w:numPr>
          <w:ilvl w:val="0"/>
          <w:numId w:val="1"/>
        </w:numPr>
        <w:overflowPunct/>
        <w:autoSpaceDE/>
        <w:autoSpaceDN/>
        <w:adjustRightInd/>
        <w:spacing w:after="200" w:line="276" w:lineRule="auto"/>
        <w:contextualSpacing/>
        <w:textAlignment w:val="auto"/>
        <w:rPr>
          <w:rFonts w:eastAsiaTheme="minorHAnsi" w:cs="Arial"/>
          <w:szCs w:val="18"/>
          <w:lang w:eastAsia="en-US"/>
        </w:rPr>
      </w:pPr>
      <w:r w:rsidRPr="005C2A1A">
        <w:rPr>
          <w:rFonts w:eastAsiaTheme="minorHAnsi" w:cs="Arial"/>
          <w:b/>
          <w:szCs w:val="18"/>
          <w:lang w:eastAsia="en-US"/>
        </w:rPr>
        <w:t>De docent vult een determinant alleen in als hij daarover voldoende weet.</w:t>
      </w:r>
    </w:p>
    <w:p w:rsidR="005C2A1A" w:rsidRPr="005C2A1A" w:rsidRDefault="005C2A1A" w:rsidP="005C2A1A">
      <w:pPr>
        <w:numPr>
          <w:ilvl w:val="0"/>
          <w:numId w:val="1"/>
        </w:numPr>
        <w:overflowPunct/>
        <w:autoSpaceDE/>
        <w:autoSpaceDN/>
        <w:adjustRightInd/>
        <w:spacing w:after="200" w:line="276" w:lineRule="auto"/>
        <w:contextualSpacing/>
        <w:textAlignment w:val="auto"/>
        <w:rPr>
          <w:rFonts w:eastAsiaTheme="minorHAnsi" w:cs="Arial"/>
          <w:b/>
          <w:szCs w:val="18"/>
          <w:lang w:eastAsia="en-US"/>
        </w:rPr>
      </w:pPr>
      <w:r w:rsidRPr="005C2A1A">
        <w:rPr>
          <w:rFonts w:eastAsiaTheme="minorHAnsi" w:cs="Arial"/>
          <w:szCs w:val="18"/>
          <w:lang w:eastAsia="en-US"/>
        </w:rPr>
        <w:t>Het advies per vak ontstaat doordat de vakdocent verschillende determinanten met elkaar verbindt of tegen elkaar afweegt, de uitkomsten afzet tegen het niveau van de klas en uiteindelijk interpreteert.</w:t>
      </w:r>
    </w:p>
    <w:p w:rsidR="005C2A1A" w:rsidRPr="005C2A1A" w:rsidRDefault="005C2A1A" w:rsidP="005C2A1A">
      <w:pPr>
        <w:numPr>
          <w:ilvl w:val="0"/>
          <w:numId w:val="1"/>
        </w:numPr>
        <w:overflowPunct/>
        <w:autoSpaceDE/>
        <w:autoSpaceDN/>
        <w:adjustRightInd/>
        <w:spacing w:after="200" w:line="276" w:lineRule="auto"/>
        <w:contextualSpacing/>
        <w:textAlignment w:val="auto"/>
        <w:rPr>
          <w:rFonts w:eastAsiaTheme="minorHAnsi" w:cs="Arial"/>
          <w:szCs w:val="18"/>
          <w:lang w:eastAsia="en-US"/>
        </w:rPr>
      </w:pPr>
      <w:r w:rsidRPr="005C2A1A">
        <w:rPr>
          <w:rFonts w:eastAsiaTheme="minorHAnsi" w:cs="Arial"/>
          <w:szCs w:val="18"/>
          <w:lang w:eastAsia="en-US"/>
        </w:rPr>
        <w:t>De leerling vult het determinatieformulier voor de leerling in.</w:t>
      </w:r>
    </w:p>
    <w:p w:rsidR="005C2A1A" w:rsidRDefault="005C2A1A" w:rsidP="005C2A1A">
      <w:pPr>
        <w:numPr>
          <w:ilvl w:val="0"/>
          <w:numId w:val="1"/>
        </w:numPr>
        <w:overflowPunct/>
        <w:autoSpaceDE/>
        <w:autoSpaceDN/>
        <w:adjustRightInd/>
        <w:spacing w:after="200" w:line="276" w:lineRule="auto"/>
        <w:contextualSpacing/>
        <w:textAlignment w:val="auto"/>
        <w:rPr>
          <w:rFonts w:eastAsiaTheme="minorHAnsi" w:cs="Arial"/>
          <w:szCs w:val="18"/>
          <w:lang w:eastAsia="en-US"/>
        </w:rPr>
      </w:pPr>
      <w:r w:rsidRPr="005C2A1A">
        <w:rPr>
          <w:rFonts w:eastAsiaTheme="minorHAnsi" w:cs="Arial"/>
          <w:szCs w:val="18"/>
          <w:lang w:eastAsia="en-US"/>
        </w:rPr>
        <w:t>De mentor verzamelt alle gegevens, van zowel leerling als docenten, interpreteert de gegevens, bespreekt de resultaten in het docententeam en adviseert leerling en ouders.</w:t>
      </w:r>
    </w:p>
    <w:p w:rsidR="005C2A1A" w:rsidRPr="005C2A1A" w:rsidRDefault="005C2A1A" w:rsidP="005C2A1A">
      <w:pPr>
        <w:overflowPunct/>
        <w:autoSpaceDE/>
        <w:autoSpaceDN/>
        <w:adjustRightInd/>
        <w:spacing w:after="200" w:line="276" w:lineRule="auto"/>
        <w:contextualSpacing/>
        <w:textAlignment w:val="auto"/>
        <w:rPr>
          <w:rFonts w:eastAsiaTheme="minorHAnsi" w:cs="Arial"/>
          <w:szCs w:val="18"/>
          <w:lang w:eastAsia="en-US"/>
        </w:rPr>
      </w:pP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r w:rsidRPr="005C2A1A">
        <w:rPr>
          <w:rFonts w:eastAsiaTheme="minorHAnsi" w:cs="Arial"/>
          <w:b/>
          <w:szCs w:val="18"/>
          <w:lang w:eastAsia="en-US"/>
        </w:rPr>
        <w:t>Mogelijke procedure</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r w:rsidRPr="005C2A1A">
        <w:rPr>
          <w:rFonts w:eastAsiaTheme="minorHAnsi" w:cs="Arial"/>
          <w:szCs w:val="18"/>
          <w:lang w:eastAsia="en-US"/>
        </w:rPr>
        <w:t>In het determinatieproces kunnen verschillende procedures gevolgd worden. Hieronder wordt een uitgebreide procedure beschreven. Hierop zijn diverse varianten mogelijk.</w:t>
      </w:r>
    </w:p>
    <w:p w:rsidR="005C2A1A" w:rsidRPr="005C2A1A" w:rsidRDefault="005C2A1A" w:rsidP="005C2A1A">
      <w:pPr>
        <w:numPr>
          <w:ilvl w:val="0"/>
          <w:numId w:val="2"/>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De leerling vult het determinatieformulier voor de leerling in.</w:t>
      </w:r>
    </w:p>
    <w:p w:rsidR="005C2A1A" w:rsidRPr="005C2A1A" w:rsidRDefault="005C2A1A" w:rsidP="005C2A1A">
      <w:pPr>
        <w:numPr>
          <w:ilvl w:val="0"/>
          <w:numId w:val="2"/>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De docenten vullen het determinatie-instrument voor de docent in.</w:t>
      </w:r>
    </w:p>
    <w:p w:rsidR="005C2A1A" w:rsidRPr="005C2A1A" w:rsidRDefault="005C2A1A" w:rsidP="005C2A1A">
      <w:pPr>
        <w:numPr>
          <w:ilvl w:val="0"/>
          <w:numId w:val="2"/>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 xml:space="preserve">De mentor verzamelt alle gegevens en trekt een voorlopige conclusie. </w:t>
      </w:r>
    </w:p>
    <w:p w:rsidR="005C2A1A" w:rsidRPr="005C2A1A" w:rsidRDefault="005C2A1A" w:rsidP="005C2A1A">
      <w:pPr>
        <w:numPr>
          <w:ilvl w:val="0"/>
          <w:numId w:val="2"/>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Zo nodig (bij grote verschillen tussen de uitkomsten van de leerling en van het docententeam):  de mentor bespreekt de voorlopige resultaten met de leerling.</w:t>
      </w:r>
    </w:p>
    <w:p w:rsidR="005C2A1A" w:rsidRPr="005C2A1A" w:rsidRDefault="005C2A1A" w:rsidP="005C2A1A">
      <w:pPr>
        <w:numPr>
          <w:ilvl w:val="0"/>
          <w:numId w:val="2"/>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De mentor bespreekt de leerling in de vergadering.</w:t>
      </w:r>
    </w:p>
    <w:p w:rsidR="005C2A1A" w:rsidRPr="005C2A1A" w:rsidRDefault="005C2A1A" w:rsidP="005C2A1A">
      <w:pPr>
        <w:numPr>
          <w:ilvl w:val="0"/>
          <w:numId w:val="2"/>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lastRenderedPageBreak/>
        <w:t>Het docententeam geeft een advies.</w:t>
      </w:r>
    </w:p>
    <w:p w:rsidR="005C2A1A" w:rsidRPr="005C2A1A" w:rsidRDefault="005C2A1A" w:rsidP="005C2A1A">
      <w:pPr>
        <w:numPr>
          <w:ilvl w:val="0"/>
          <w:numId w:val="2"/>
        </w:numPr>
        <w:overflowPunct/>
        <w:autoSpaceDE/>
        <w:autoSpaceDN/>
        <w:adjustRightInd/>
        <w:spacing w:line="276" w:lineRule="auto"/>
        <w:contextualSpacing/>
        <w:textAlignment w:val="auto"/>
        <w:rPr>
          <w:rFonts w:eastAsiaTheme="minorHAnsi" w:cs="Arial"/>
          <w:szCs w:val="18"/>
          <w:lang w:eastAsia="en-US"/>
        </w:rPr>
      </w:pPr>
      <w:r w:rsidRPr="005C2A1A">
        <w:rPr>
          <w:rFonts w:eastAsiaTheme="minorHAnsi" w:cs="Arial"/>
          <w:szCs w:val="18"/>
          <w:lang w:eastAsia="en-US"/>
        </w:rPr>
        <w:t>De mentor bespreekt het advies met de leerling en zijn ouders/verzorgers.</w:t>
      </w: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p>
    <w:p w:rsidR="005C2A1A" w:rsidRPr="005C2A1A" w:rsidRDefault="005C2A1A" w:rsidP="005C2A1A">
      <w:pPr>
        <w:overflowPunct/>
        <w:autoSpaceDE/>
        <w:autoSpaceDN/>
        <w:adjustRightInd/>
        <w:spacing w:line="276" w:lineRule="auto"/>
        <w:textAlignment w:val="auto"/>
        <w:rPr>
          <w:rFonts w:eastAsiaTheme="minorHAnsi" w:cs="Arial"/>
          <w:b/>
          <w:szCs w:val="18"/>
          <w:lang w:eastAsia="en-US"/>
        </w:rPr>
      </w:pPr>
      <w:r w:rsidRPr="005C2A1A">
        <w:rPr>
          <w:rFonts w:eastAsiaTheme="minorHAnsi" w:cs="Arial"/>
          <w:b/>
          <w:szCs w:val="18"/>
          <w:lang w:eastAsia="en-US"/>
        </w:rPr>
        <w:t>Bruikbaarheid van het instrumentarium in andere schooltypes en leerjaren</w:t>
      </w:r>
    </w:p>
    <w:p w:rsidR="005C2A1A" w:rsidRPr="005C2A1A" w:rsidRDefault="005C2A1A" w:rsidP="005C2A1A">
      <w:pPr>
        <w:overflowPunct/>
        <w:autoSpaceDE/>
        <w:autoSpaceDN/>
        <w:adjustRightInd/>
        <w:spacing w:line="276" w:lineRule="auto"/>
        <w:textAlignment w:val="auto"/>
        <w:rPr>
          <w:rFonts w:eastAsiaTheme="minorHAnsi" w:cs="Arial"/>
          <w:szCs w:val="18"/>
          <w:lang w:eastAsia="en-US"/>
        </w:rPr>
      </w:pPr>
      <w:r w:rsidRPr="005C2A1A">
        <w:rPr>
          <w:rFonts w:eastAsiaTheme="minorHAnsi" w:cs="Arial"/>
          <w:szCs w:val="18"/>
          <w:lang w:eastAsia="en-US"/>
        </w:rPr>
        <w:t xml:space="preserve">Hoewel het instrumentarium ontwikkeld is voor de theoretische leerweg, is het denkbaar dat het als hulpmiddel ook ingezet wordt ter ondersteuning van doorstroombeslissingen van leerlingen in andere schooltypes en leerjaren. Op onderdelen kan het instrumentarium daarvoor worden aangepast of aangevuld. </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b/>
          <w:szCs w:val="18"/>
          <w:lang w:eastAsia="en-US"/>
        </w:rPr>
      </w:pPr>
      <w:r w:rsidRPr="005C2A1A">
        <w:rPr>
          <w:rFonts w:eastAsiaTheme="minorHAnsi" w:cs="Arial"/>
          <w:b/>
          <w:szCs w:val="18"/>
          <w:lang w:eastAsia="en-US"/>
        </w:rPr>
        <w:t>Gebruikte literatuur</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szCs w:val="18"/>
          <w:lang w:eastAsia="en-US"/>
        </w:rPr>
        <w:t xml:space="preserve">Alphen, H. van, Moonen, B. &amp; Poelmann, M. (2007). </w:t>
      </w:r>
      <w:r w:rsidRPr="005C2A1A">
        <w:rPr>
          <w:rFonts w:eastAsiaTheme="minorHAnsi" w:cs="Arial"/>
          <w:i/>
          <w:szCs w:val="18"/>
          <w:lang w:eastAsia="en-US"/>
        </w:rPr>
        <w:t>Nieuw leren en determineren</w:t>
      </w:r>
      <w:r w:rsidRPr="005C2A1A">
        <w:rPr>
          <w:rFonts w:eastAsiaTheme="minorHAnsi" w:cs="Arial"/>
          <w:szCs w:val="18"/>
          <w:lang w:eastAsia="en-US"/>
        </w:rPr>
        <w:t>. Amersfoort: CPS.</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szCs w:val="18"/>
          <w:lang w:val="en-GB" w:eastAsia="en-US"/>
        </w:rPr>
        <w:t xml:space="preserve">Anderson, L. W., Krathwohl, D. R., Airasian, P. W., Cruikshank, K. A., Mayer, R. E., Pintrich, P. R. et al. (2001). </w:t>
      </w:r>
      <w:r w:rsidRPr="005C2A1A">
        <w:rPr>
          <w:rFonts w:eastAsiaTheme="minorHAnsi" w:cs="Arial"/>
          <w:i/>
          <w:szCs w:val="18"/>
          <w:lang w:val="en-GB" w:eastAsia="en-US"/>
        </w:rPr>
        <w:t>A Taxonomy for Learning, Teaching, and Assessing: A Revision of Bloom’s Taxonomy of Educational Objectives.</w:t>
      </w:r>
      <w:r w:rsidRPr="005C2A1A">
        <w:rPr>
          <w:rFonts w:eastAsiaTheme="minorHAnsi" w:cs="Arial"/>
          <w:szCs w:val="18"/>
          <w:lang w:val="en-GB" w:eastAsia="en-US"/>
        </w:rPr>
        <w:t xml:space="preserve"> </w:t>
      </w:r>
      <w:r w:rsidRPr="005C2A1A">
        <w:rPr>
          <w:rFonts w:eastAsiaTheme="minorHAnsi" w:cs="Arial"/>
          <w:szCs w:val="18"/>
          <w:lang w:eastAsia="en-US"/>
        </w:rPr>
        <w:t>Addison Wesley Longman, Inc.</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szCs w:val="18"/>
          <w:lang w:eastAsia="en-US"/>
        </w:rPr>
        <w:t xml:space="preserve">Boland, J., Eising, J. &amp; Molen, H. van der (2005). </w:t>
      </w:r>
      <w:r w:rsidRPr="005C2A1A">
        <w:rPr>
          <w:rFonts w:eastAsiaTheme="minorHAnsi" w:cs="Arial"/>
          <w:i/>
          <w:szCs w:val="18"/>
          <w:lang w:eastAsia="en-US"/>
        </w:rPr>
        <w:t>Op weg naar leerlingprofielen. Praktijkvoorbeeld van determineren en adviseren in het Voortgezet Onderwijs</w:t>
      </w:r>
      <w:r w:rsidRPr="005C2A1A">
        <w:rPr>
          <w:rFonts w:eastAsiaTheme="minorHAnsi" w:cs="Arial"/>
          <w:szCs w:val="18"/>
          <w:lang w:eastAsia="en-US"/>
        </w:rPr>
        <w:t>. Antwerpen: Garant.</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szCs w:val="18"/>
          <w:lang w:eastAsia="en-US"/>
        </w:rPr>
        <w:t xml:space="preserve">Drost, M. &amp; Verra, P. (2013). </w:t>
      </w:r>
      <w:r w:rsidRPr="005C2A1A">
        <w:rPr>
          <w:rFonts w:eastAsiaTheme="minorHAnsi" w:cs="Arial"/>
          <w:i/>
          <w:szCs w:val="18"/>
          <w:lang w:eastAsia="en-US"/>
        </w:rPr>
        <w:t>Handboek RTTI.</w:t>
      </w:r>
      <w:r w:rsidRPr="005C2A1A">
        <w:rPr>
          <w:rFonts w:eastAsiaTheme="minorHAnsi" w:cs="Arial"/>
          <w:szCs w:val="18"/>
          <w:lang w:eastAsia="en-US"/>
        </w:rPr>
        <w:t xml:space="preserve"> Bodegraven: Docentplus.</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i/>
          <w:szCs w:val="18"/>
          <w:lang w:eastAsia="en-US"/>
        </w:rPr>
      </w:pPr>
      <w:r w:rsidRPr="005C2A1A">
        <w:rPr>
          <w:rFonts w:eastAsiaTheme="minorHAnsi" w:cs="Arial"/>
          <w:szCs w:val="18"/>
          <w:lang w:eastAsia="en-US"/>
        </w:rPr>
        <w:t xml:space="preserve">Gardner, H. (2002). </w:t>
      </w:r>
      <w:r w:rsidRPr="005C2A1A">
        <w:rPr>
          <w:rFonts w:eastAsiaTheme="minorHAnsi" w:cs="Arial"/>
          <w:i/>
          <w:szCs w:val="18"/>
          <w:lang w:eastAsia="en-US"/>
        </w:rPr>
        <w:t>Soorten intelligentie. Meervoudige intelligenties voor de 21</w:t>
      </w:r>
      <w:r w:rsidRPr="005C2A1A">
        <w:rPr>
          <w:rFonts w:eastAsiaTheme="minorHAnsi" w:cs="Arial"/>
          <w:i/>
          <w:szCs w:val="18"/>
          <w:vertAlign w:val="superscript"/>
          <w:lang w:eastAsia="en-US"/>
        </w:rPr>
        <w:t>ste</w:t>
      </w:r>
      <w:r w:rsidRPr="005C2A1A">
        <w:rPr>
          <w:rFonts w:eastAsiaTheme="minorHAnsi" w:cs="Arial"/>
          <w:i/>
          <w:szCs w:val="18"/>
          <w:lang w:eastAsia="en-US"/>
        </w:rPr>
        <w:t xml:space="preserve"> eeuw.</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szCs w:val="18"/>
          <w:lang w:eastAsia="en-US"/>
        </w:rPr>
        <w:t xml:space="preserve">Haandrikman, M. (2014). </w:t>
      </w:r>
      <w:r w:rsidRPr="005C2A1A">
        <w:rPr>
          <w:rFonts w:eastAsiaTheme="minorHAnsi" w:cs="Arial"/>
          <w:i/>
          <w:szCs w:val="18"/>
          <w:lang w:eastAsia="en-US"/>
        </w:rPr>
        <w:t>Handreiking verbetering aansluiting vmbo (tl) – havo.</w:t>
      </w:r>
      <w:r w:rsidRPr="005C2A1A">
        <w:rPr>
          <w:rFonts w:eastAsiaTheme="minorHAnsi" w:cs="Arial"/>
          <w:szCs w:val="18"/>
          <w:lang w:eastAsia="en-US"/>
        </w:rPr>
        <w:t xml:space="preserve"> Utrecht: VO-raad.</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color w:val="000000"/>
          <w:szCs w:val="18"/>
          <w:lang w:eastAsia="en-US"/>
        </w:rPr>
      </w:pPr>
      <w:r w:rsidRPr="005C2A1A">
        <w:rPr>
          <w:rFonts w:eastAsiaTheme="minorHAnsi" w:cs="Arial"/>
          <w:color w:val="000000"/>
          <w:szCs w:val="18"/>
          <w:lang w:eastAsia="en-US"/>
        </w:rPr>
        <w:t xml:space="preserve">Lahuis, A. (1986). </w:t>
      </w:r>
      <w:r w:rsidRPr="005C2A1A">
        <w:rPr>
          <w:rFonts w:eastAsiaTheme="minorHAnsi" w:cs="Arial"/>
          <w:i/>
          <w:color w:val="000000"/>
          <w:szCs w:val="18"/>
          <w:lang w:eastAsia="en-US"/>
        </w:rPr>
        <w:t>De beschrijving van onderwijsdoelstellingen in schoolwerkplanpublikaties. Over affectieve en andere onderwijsdoelstellingen.</w:t>
      </w:r>
      <w:r w:rsidRPr="005C2A1A">
        <w:rPr>
          <w:rFonts w:eastAsiaTheme="minorHAnsi" w:cs="Arial"/>
          <w:color w:val="000000"/>
          <w:szCs w:val="18"/>
          <w:lang w:eastAsia="en-US"/>
        </w:rPr>
        <w:t xml:space="preserve"> Enschede: SLO.</w:t>
      </w: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szCs w:val="18"/>
          <w:lang w:eastAsia="en-US"/>
        </w:rPr>
        <w:t xml:space="preserve">Monnink, K., van Oostrom, H., Bossers, G., Smit, H., van Ommeren, C., Rookmaker, H. &amp; Visser, S. (2010). </w:t>
      </w:r>
      <w:r w:rsidRPr="005C2A1A">
        <w:rPr>
          <w:rFonts w:eastAsiaTheme="minorHAnsi" w:cs="Arial"/>
          <w:i/>
          <w:szCs w:val="18"/>
          <w:lang w:eastAsia="en-US"/>
        </w:rPr>
        <w:t xml:space="preserve">T(L) splitsing: van vmbo-tl naar havo of mbo. Onderzoek naar de knelpunten in de aansluiting van vmbo-tl met mbo en havo en mogelijke oplossingen daarvoor. </w:t>
      </w:r>
      <w:r w:rsidRPr="005C2A1A">
        <w:rPr>
          <w:rFonts w:eastAsiaTheme="minorHAnsi" w:cs="Arial"/>
          <w:szCs w:val="18"/>
          <w:lang w:eastAsia="en-US"/>
        </w:rPr>
        <w:t xml:space="preserve">Utrecht: VO-raad. </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szCs w:val="18"/>
          <w:lang w:eastAsia="en-US"/>
        </w:rPr>
        <w:t xml:space="preserve">Neuvel, J., van Esch, W. &amp;  Westerhuis, A. (2011). </w:t>
      </w:r>
      <w:r w:rsidRPr="005C2A1A">
        <w:rPr>
          <w:rFonts w:eastAsiaTheme="minorHAnsi" w:cs="Arial"/>
          <w:i/>
          <w:szCs w:val="18"/>
          <w:lang w:eastAsia="en-US"/>
        </w:rPr>
        <w:t>Eindexamencijfers vmbo en studiesucces op het havo.</w:t>
      </w:r>
      <w:r w:rsidRPr="005C2A1A">
        <w:rPr>
          <w:rFonts w:eastAsiaTheme="minorHAnsi" w:cs="Arial"/>
          <w:szCs w:val="18"/>
          <w:lang w:eastAsia="en-US"/>
        </w:rPr>
        <w:t xml:space="preserve"> 's-Hertogenbosch: ECBO.</w:t>
      </w:r>
    </w:p>
    <w:p w:rsidR="005C2A1A" w:rsidRPr="005C2A1A" w:rsidRDefault="005C2A1A" w:rsidP="005C2A1A">
      <w:pPr>
        <w:overflowPunct/>
        <w:autoSpaceDE/>
        <w:autoSpaceDN/>
        <w:adjustRightInd/>
        <w:textAlignment w:val="auto"/>
        <w:rPr>
          <w:rFonts w:eastAsiaTheme="minorHAnsi" w:cs="Arial"/>
          <w:color w:val="000000"/>
          <w:szCs w:val="18"/>
          <w:lang w:eastAsia="en-US"/>
        </w:rPr>
      </w:pP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szCs w:val="18"/>
          <w:lang w:eastAsia="en-US"/>
        </w:rPr>
        <w:t xml:space="preserve">Rodenboog, M., Meer, F. van der, Stulp T., Jansma N., Kleunen &amp; E. van, Lanschot Hubrecht, V. van (2011). </w:t>
      </w:r>
      <w:r w:rsidRPr="005C2A1A">
        <w:rPr>
          <w:rFonts w:eastAsiaTheme="minorHAnsi" w:cs="Arial"/>
          <w:i/>
          <w:szCs w:val="18"/>
          <w:lang w:eastAsia="en-US"/>
        </w:rPr>
        <w:t>Zorg voor aansluiting. Kwalitatief onderzoek naar de aansluiting tussen vmbo-tl en de opleiding mbo-verpleegkunde.</w:t>
      </w:r>
      <w:r w:rsidRPr="005C2A1A">
        <w:rPr>
          <w:rFonts w:eastAsiaTheme="minorHAnsi" w:cs="Arial"/>
          <w:szCs w:val="18"/>
          <w:lang w:eastAsia="en-US"/>
        </w:rPr>
        <w:t xml:space="preserve"> Enschede: SLO.</w:t>
      </w:r>
    </w:p>
    <w:p w:rsidR="005C2A1A" w:rsidRPr="005C2A1A" w:rsidRDefault="005C2A1A" w:rsidP="005C2A1A">
      <w:pPr>
        <w:overflowPunct/>
        <w:autoSpaceDE/>
        <w:autoSpaceDN/>
        <w:adjustRightInd/>
        <w:textAlignment w:val="auto"/>
        <w:rPr>
          <w:rFonts w:eastAsiaTheme="minorHAnsi" w:cs="Arial"/>
          <w:color w:val="000000"/>
          <w:szCs w:val="18"/>
          <w:lang w:eastAsia="en-US"/>
        </w:rPr>
      </w:pP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color w:val="000000"/>
          <w:szCs w:val="18"/>
          <w:lang w:eastAsia="en-US"/>
        </w:rPr>
        <w:t xml:space="preserve">Sluijters, C. (1998). </w:t>
      </w:r>
      <w:r w:rsidRPr="005C2A1A">
        <w:rPr>
          <w:rFonts w:eastAsiaTheme="minorHAnsi" w:cs="Arial"/>
          <w:i/>
          <w:color w:val="000000"/>
          <w:szCs w:val="18"/>
          <w:lang w:eastAsia="en-US"/>
        </w:rPr>
        <w:t xml:space="preserve">Toetsen en beslissen. Toetsing bij doorstroombeslissingen in het voortgezet onderwijs. </w:t>
      </w:r>
      <w:r w:rsidRPr="005C2A1A">
        <w:rPr>
          <w:rFonts w:eastAsiaTheme="minorHAnsi" w:cs="Arial"/>
          <w:color w:val="000000"/>
          <w:szCs w:val="18"/>
          <w:lang w:eastAsia="en-US"/>
        </w:rPr>
        <w:t>Arnhem: Cito.</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color w:val="000000"/>
          <w:szCs w:val="18"/>
          <w:lang w:eastAsia="en-US"/>
        </w:rPr>
        <w:t xml:space="preserve">Spijkerboer, L., Bootsma, G. &amp; Denijs, W.  (2007). </w:t>
      </w:r>
      <w:r w:rsidRPr="005C2A1A">
        <w:rPr>
          <w:rFonts w:eastAsiaTheme="minorHAnsi" w:cs="Arial"/>
          <w:i/>
          <w:szCs w:val="18"/>
          <w:lang w:eastAsia="en-US"/>
        </w:rPr>
        <w:t xml:space="preserve">Determinatie en toetsen. </w:t>
      </w:r>
      <w:r w:rsidRPr="005C2A1A">
        <w:rPr>
          <w:rFonts w:eastAsiaTheme="minorHAnsi" w:cs="Arial"/>
          <w:szCs w:val="18"/>
          <w:lang w:eastAsia="en-US"/>
        </w:rPr>
        <w:t>Utrecht: APS.</w:t>
      </w:r>
    </w:p>
    <w:p w:rsidR="005C2A1A" w:rsidRPr="005C2A1A" w:rsidRDefault="005C2A1A" w:rsidP="005C2A1A">
      <w:pPr>
        <w:overflowPunct/>
        <w:autoSpaceDE/>
        <w:autoSpaceDN/>
        <w:adjustRightInd/>
        <w:textAlignment w:val="auto"/>
        <w:rPr>
          <w:rFonts w:eastAsiaTheme="minorHAnsi" w:cs="Arial"/>
          <w:szCs w:val="18"/>
          <w:lang w:eastAsia="en-US"/>
        </w:rPr>
      </w:pPr>
    </w:p>
    <w:p w:rsidR="005C2A1A" w:rsidRPr="005C2A1A" w:rsidRDefault="005C2A1A" w:rsidP="005C2A1A">
      <w:pPr>
        <w:overflowPunct/>
        <w:autoSpaceDE/>
        <w:autoSpaceDN/>
        <w:adjustRightInd/>
        <w:textAlignment w:val="auto"/>
        <w:rPr>
          <w:rFonts w:eastAsiaTheme="minorHAnsi" w:cs="Arial"/>
          <w:szCs w:val="18"/>
          <w:lang w:eastAsia="en-US"/>
        </w:rPr>
      </w:pPr>
      <w:r w:rsidRPr="005C2A1A">
        <w:rPr>
          <w:rFonts w:eastAsiaTheme="minorHAnsi" w:cs="Arial"/>
          <w:szCs w:val="18"/>
          <w:lang w:eastAsia="en-US"/>
        </w:rPr>
        <w:t xml:space="preserve">Tielemans, J. (1999). </w:t>
      </w:r>
      <w:r w:rsidRPr="005C2A1A">
        <w:rPr>
          <w:rFonts w:eastAsiaTheme="minorHAnsi" w:cs="Arial"/>
          <w:i/>
          <w:szCs w:val="18"/>
          <w:lang w:eastAsia="en-US"/>
        </w:rPr>
        <w:t xml:space="preserve">Psychologie en didactiek in het onderwijs. </w:t>
      </w:r>
      <w:r w:rsidRPr="005C2A1A">
        <w:rPr>
          <w:rFonts w:eastAsiaTheme="minorHAnsi" w:cs="Arial"/>
          <w:szCs w:val="18"/>
          <w:lang w:eastAsia="en-US"/>
        </w:rPr>
        <w:t>Leuven/Apeldoorn: Garant.</w:t>
      </w:r>
    </w:p>
    <w:p w:rsidR="005C2A1A" w:rsidRPr="005C2A1A" w:rsidRDefault="005C2A1A" w:rsidP="005C2A1A">
      <w:pPr>
        <w:overflowPunct/>
        <w:autoSpaceDE/>
        <w:autoSpaceDN/>
        <w:adjustRightInd/>
        <w:textAlignment w:val="auto"/>
        <w:rPr>
          <w:rFonts w:eastAsiaTheme="minorHAnsi" w:cs="Arial"/>
          <w:szCs w:val="18"/>
          <w:lang w:eastAsia="en-US"/>
        </w:rPr>
      </w:pPr>
    </w:p>
    <w:p w:rsidR="00E51397" w:rsidRPr="001615E3" w:rsidRDefault="005C2A1A" w:rsidP="005C2A1A">
      <w:pPr>
        <w:overflowPunct/>
        <w:autoSpaceDE/>
        <w:autoSpaceDN/>
        <w:adjustRightInd/>
        <w:textAlignment w:val="auto"/>
      </w:pPr>
      <w:r w:rsidRPr="005C2A1A">
        <w:rPr>
          <w:rFonts w:eastAsiaTheme="minorHAnsi" w:cs="Arial"/>
          <w:szCs w:val="18"/>
          <w:lang w:eastAsia="en-US"/>
        </w:rPr>
        <w:t xml:space="preserve">Werkgroep Referentiekader en Determinatie (2011). </w:t>
      </w:r>
      <w:r w:rsidRPr="005C2A1A">
        <w:rPr>
          <w:rFonts w:eastAsiaTheme="minorHAnsi" w:cs="Arial"/>
          <w:i/>
          <w:szCs w:val="18"/>
          <w:lang w:eastAsia="en-US"/>
        </w:rPr>
        <w:t>Kwaliteit staat buiten kijf! Referentiekader vmbo-groen</w:t>
      </w:r>
      <w:r w:rsidRPr="005C2A1A">
        <w:rPr>
          <w:rFonts w:eastAsiaTheme="minorHAnsi" w:cs="Arial"/>
          <w:szCs w:val="18"/>
          <w:lang w:eastAsia="en-US"/>
        </w:rPr>
        <w:t>. Ede: AOC-Raad.</w:t>
      </w:r>
    </w:p>
    <w:sectPr w:rsidR="00E51397" w:rsidRPr="001615E3" w:rsidSect="004D63DC">
      <w:footerReference w:type="default" r:id="rId7"/>
      <w:endnotePr>
        <w:numFmt w:val="decimal"/>
      </w:endnotePr>
      <w:type w:val="continuous"/>
      <w:pgSz w:w="11907" w:h="16840" w:code="9"/>
      <w:pgMar w:top="2268" w:right="1275"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Bron:</w:t>
    </w:r>
    <w:r w:rsidR="00D07C8D">
      <w:rPr>
        <w:rStyle w:val="Paginanummer"/>
      </w:rPr>
      <w:t xml:space="preserve"> </w:t>
    </w:r>
    <w:r w:rsidR="00D07C8D" w:rsidRPr="00D07C8D">
      <w:rPr>
        <w:rStyle w:val="Paginanummer"/>
      </w:rPr>
      <w:t>http://www.slo.nl/theoretischeleerweg</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DF1EA9">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B177C"/>
    <w:multiLevelType w:val="hybridMultilevel"/>
    <w:tmpl w:val="5512F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2FF1B84"/>
    <w:multiLevelType w:val="hybridMultilevel"/>
    <w:tmpl w:val="9F7250F2"/>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568184C"/>
    <w:multiLevelType w:val="hybridMultilevel"/>
    <w:tmpl w:val="A0DA53F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CE56C41"/>
    <w:multiLevelType w:val="hybridMultilevel"/>
    <w:tmpl w:val="8CB47248"/>
    <w:lvl w:ilvl="0" w:tplc="27508DAA">
      <w:start w:val="1"/>
      <w:numFmt w:val="bullet"/>
      <w:lvlText w:val=""/>
      <w:lvlJc w:val="left"/>
      <w:pPr>
        <w:ind w:left="720" w:hanging="360"/>
      </w:pPr>
      <w:rPr>
        <w:rFonts w:ascii="Symbol" w:hAnsi="Symbol" w:hint="default"/>
      </w:rPr>
    </w:lvl>
    <w:lvl w:ilvl="1" w:tplc="27508DAA">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0640CD1"/>
    <w:multiLevelType w:val="hybridMultilevel"/>
    <w:tmpl w:val="E4E6D47C"/>
    <w:lvl w:ilvl="0" w:tplc="27508DA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6A61EC"/>
    <w:multiLevelType w:val="hybridMultilevel"/>
    <w:tmpl w:val="F2DCAD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6FB46E2"/>
    <w:multiLevelType w:val="hybridMultilevel"/>
    <w:tmpl w:val="08F01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33AE1"/>
    <w:rsid w:val="001615E3"/>
    <w:rsid w:val="001A565A"/>
    <w:rsid w:val="00227972"/>
    <w:rsid w:val="00235D22"/>
    <w:rsid w:val="003E0EA5"/>
    <w:rsid w:val="004D63DC"/>
    <w:rsid w:val="005C2A1A"/>
    <w:rsid w:val="006B2889"/>
    <w:rsid w:val="00762834"/>
    <w:rsid w:val="007F016D"/>
    <w:rsid w:val="008038A1"/>
    <w:rsid w:val="00814B27"/>
    <w:rsid w:val="0088760E"/>
    <w:rsid w:val="00890B33"/>
    <w:rsid w:val="00995FAA"/>
    <w:rsid w:val="009D59F7"/>
    <w:rsid w:val="00A62CF2"/>
    <w:rsid w:val="00A845AF"/>
    <w:rsid w:val="00CC3512"/>
    <w:rsid w:val="00D07C8D"/>
    <w:rsid w:val="00DA50A2"/>
    <w:rsid w:val="00DB21B0"/>
    <w:rsid w:val="00DD4603"/>
    <w:rsid w:val="00DF0D43"/>
    <w:rsid w:val="00DF1EA9"/>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provider|n.jansma@slo.nl</DisplayName>
        <AccountId>80</AccountId>
        <AccountType/>
      </UserInfo>
    </RepAuthorInternal>
    <RepProjectName xmlns="http://schemas.microsoft.com/sharepoint/v3">Doorstroom vmbo</RepProjectName>
    <RepApaNotation xmlns="http://schemas.microsoft.com/sharepoint/v3" xsi:nil="true"/>
    <_dlc_DocId xmlns="7106a2ac-038a-457f-8b58-ec67130d9d6d">47XQ5P3E4USX-10-3839</_dlc_DocId>
    <_dlc_DocIdUrl xmlns="7106a2ac-038a-457f-8b58-ec67130d9d6d">
      <Url>https://cms-downloads.slo.nl/_layouts/15/DocIdRedir.aspx?ID=47XQ5P3E4USX-10-3839</Url>
      <Description>47XQ5P3E4USX-10-3839</Description>
    </_dlc_DocIdUrl>
  </documentManagement>
</p:properties>
</file>

<file path=customXml/itemProps1.xml><?xml version="1.0" encoding="utf-8"?>
<ds:datastoreItem xmlns:ds="http://schemas.openxmlformats.org/officeDocument/2006/customXml" ds:itemID="{2FA76DF7-0247-4395-B56B-856B9CB3910B}"/>
</file>

<file path=customXml/itemProps2.xml><?xml version="1.0" encoding="utf-8"?>
<ds:datastoreItem xmlns:ds="http://schemas.openxmlformats.org/officeDocument/2006/customXml" ds:itemID="{5263350A-B947-40EC-97C9-5728ACA712FD}"/>
</file>

<file path=customXml/itemProps3.xml><?xml version="1.0" encoding="utf-8"?>
<ds:datastoreItem xmlns:ds="http://schemas.openxmlformats.org/officeDocument/2006/customXml" ds:itemID="{33DEE847-A255-40D9-9873-688573290548}"/>
</file>

<file path=customXml/itemProps4.xml><?xml version="1.0" encoding="utf-8"?>
<ds:datastoreItem xmlns:ds="http://schemas.openxmlformats.org/officeDocument/2006/customXml" ds:itemID="{0E2B4041-72A4-4FFA-8A75-08549EF2DAF5}"/>
</file>

<file path=docProps/app.xml><?xml version="1.0" encoding="utf-8"?>
<Properties xmlns="http://schemas.openxmlformats.org/officeDocument/2006/extended-properties" xmlns:vt="http://schemas.openxmlformats.org/officeDocument/2006/docPropsVTypes">
  <Template>lesbrief.dotm</Template>
  <TotalTime>0</TotalTime>
  <Pages>3</Pages>
  <Words>1346</Words>
  <Characters>7981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Toelichting Determinatie instrument</dc:title>
  <dc:creator>Jessica van der Veen</dc:creator>
  <cp:lastModifiedBy>Lammie Stoffers</cp:lastModifiedBy>
  <cp:revision>2</cp:revision>
  <cp:lastPrinted>2008-09-29T14:29:00Z</cp:lastPrinted>
  <dcterms:created xsi:type="dcterms:W3CDTF">2017-07-06T14:23:00Z</dcterms:created>
  <dcterms:modified xsi:type="dcterms:W3CDTF">2017-07-06T14:23:00Z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1f3f5d89-62d9-4763-9a7b-4186448e9258</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