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C3" w:rsidRPr="004157C3" w:rsidRDefault="004157C3" w:rsidP="004157C3">
      <w:pPr>
        <w:pStyle w:val="Kop1"/>
      </w:pPr>
      <w:r w:rsidRPr="004157C3">
        <w:t>Carmel College Salland</w:t>
      </w:r>
    </w:p>
    <w:p w:rsidR="004157C3" w:rsidRPr="00E80B98" w:rsidRDefault="004157C3" w:rsidP="004157C3">
      <w:pPr>
        <w:overflowPunct/>
        <w:autoSpaceDE/>
        <w:autoSpaceDN/>
        <w:adjustRightInd/>
        <w:spacing w:line="240" w:lineRule="atLeast"/>
        <w:textAlignment w:val="auto"/>
        <w:rPr>
          <w:rFonts w:asciiTheme="minorHAnsi" w:eastAsiaTheme="minorHAnsi" w:hAnsiTheme="minorHAnsi" w:cstheme="minorBidi"/>
          <w:i/>
          <w:sz w:val="20"/>
          <w:lang w:eastAsia="en-US"/>
        </w:rPr>
      </w:pPr>
      <w:r w:rsidRPr="00E80B98">
        <w:rPr>
          <w:rFonts w:asciiTheme="minorHAnsi" w:eastAsiaTheme="minorHAnsi" w:hAnsiTheme="minorHAnsi" w:cstheme="minorBidi"/>
          <w:i/>
          <w:sz w:val="20"/>
          <w:lang w:eastAsia="en-US"/>
        </w:rPr>
        <w:t>februari 2017, Viola van Lanschot Hubrecht (SLO)</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Website: http://www.carmelcollegesalland.nl/</w:t>
      </w:r>
    </w:p>
    <w:p w:rsidR="004157C3" w:rsidRPr="004157C3" w:rsidRDefault="000B698F" w:rsidP="004157C3">
      <w:pPr>
        <w:overflowPunct/>
        <w:autoSpaceDE/>
        <w:autoSpaceDN/>
        <w:adjustRightInd/>
        <w:spacing w:line="240" w:lineRule="atLeast"/>
        <w:textAlignment w:val="auto"/>
        <w:rPr>
          <w:rFonts w:asciiTheme="minorHAnsi" w:eastAsiaTheme="minorHAnsi" w:hAnsiTheme="minorHAnsi" w:cstheme="minorBidi"/>
          <w:sz w:val="20"/>
          <w:lang w:eastAsia="en-US"/>
        </w:rPr>
      </w:pPr>
      <w:hyperlink r:id="rId6" w:history="1">
        <w:r w:rsidR="004157C3" w:rsidRPr="004157C3">
          <w:rPr>
            <w:rFonts w:asciiTheme="minorHAnsi" w:eastAsiaTheme="minorHAnsi" w:hAnsiTheme="minorHAnsi" w:cstheme="minorBidi"/>
            <w:color w:val="0000FF" w:themeColor="hyperlink"/>
            <w:sz w:val="20"/>
            <w:u w:val="single"/>
            <w:lang w:eastAsia="en-US"/>
          </w:rPr>
          <w:t>https://www.youtube.com/watch?v=EUxgJYsnN5E</w:t>
        </w:r>
      </w:hyperlink>
    </w:p>
    <w:p w:rsidR="004157C3" w:rsidRPr="004157C3" w:rsidRDefault="004D62C0"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t xml:space="preserve">Contactpersoon: </w:t>
      </w:r>
      <w:r w:rsidRPr="000B698F">
        <w:rPr>
          <w:rFonts w:asciiTheme="minorHAnsi" w:eastAsiaTheme="minorHAnsi" w:hAnsiTheme="minorHAnsi" w:cstheme="minorBidi"/>
          <w:sz w:val="20"/>
          <w:lang w:eastAsia="en-US"/>
        </w:rPr>
        <w:t>Harry</w:t>
      </w:r>
      <w:r w:rsidR="004157C3" w:rsidRPr="000B698F">
        <w:rPr>
          <w:rFonts w:asciiTheme="minorHAnsi" w:eastAsiaTheme="minorHAnsi" w:hAnsiTheme="minorHAnsi" w:cstheme="minorBidi"/>
          <w:sz w:val="20"/>
          <w:lang w:eastAsia="en-US"/>
        </w:rPr>
        <w:t xml:space="preserve"> </w:t>
      </w:r>
      <w:r w:rsidR="004157C3" w:rsidRPr="004157C3">
        <w:rPr>
          <w:rFonts w:asciiTheme="minorHAnsi" w:eastAsiaTheme="minorHAnsi" w:hAnsiTheme="minorHAnsi" w:cstheme="minorBidi"/>
          <w:sz w:val="20"/>
          <w:lang w:eastAsia="en-US"/>
        </w:rPr>
        <w:t>te Riele</w:t>
      </w:r>
      <w:r w:rsidR="00E80B98">
        <w:rPr>
          <w:rFonts w:asciiTheme="minorHAnsi" w:eastAsiaTheme="minorHAnsi" w:hAnsiTheme="minorHAnsi" w:cstheme="minorBidi"/>
          <w:sz w:val="20"/>
          <w:lang w:eastAsia="en-US"/>
        </w:rPr>
        <w:t xml:space="preserve"> (docent D&amp;P)</w:t>
      </w:r>
    </w:p>
    <w:p w:rsid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E80B98" w:rsidRPr="004157C3" w:rsidRDefault="00E80B98"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4157C3">
        <w:rPr>
          <w:rFonts w:asciiTheme="majorHAnsi" w:eastAsiaTheme="majorEastAsia" w:hAnsiTheme="majorHAnsi" w:cstheme="majorBidi"/>
          <w:color w:val="365F91" w:themeColor="accent1" w:themeShade="BF"/>
          <w:sz w:val="26"/>
          <w:szCs w:val="26"/>
          <w:lang w:eastAsia="en-US"/>
        </w:rPr>
        <w:t>Van intersectoraal naar D&amp;P</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 xml:space="preserve">Het Carmel College Salland in Raalte is in 2003 vanuit sectorale examenprogramma's overgestapt naar het intersectorale programma met drie uitstroomrichtingen: Technologie &amp; Dienstverlening, Technologie &amp; Commercie en Dienstverlening &amp; Commercie. Vanaf schooljaar 2014 – 2015 is de school pilotschool voor het profiel D&amp;P. Alle leerlingen in de bovenbouw van het vmbo volgen het beroepsgerichte profielvak D&amp;P. De keuzevrijheid voor leerlingen staat voorop. Dit betekent dat er een ruim aanbod van beroepsgerichte keuzevakken is waaruit leerlingen kunnen kiezen. De school noemt dit thema's. De thema's staan centraal in het onderwijs dat projectmatig van opzet is. Vanuit de historie van de school kunnen de docenten beschikken over goed geoutilleerde vaklokalen. Er is onder meer een technieklokaal, een keuken, een groenafdeling met een interessante buitenruimte, kassen en dierenverblijven en een dramalokaal met voorzieningen voor licht- en geluid. Dit is tevens de oefenruimte voor </w:t>
      </w:r>
      <w:r w:rsidR="00DA2E0F">
        <w:rPr>
          <w:rFonts w:asciiTheme="minorHAnsi" w:eastAsiaTheme="minorHAnsi" w:hAnsiTheme="minorHAnsi" w:cstheme="minorBidi"/>
          <w:sz w:val="20"/>
          <w:lang w:eastAsia="en-US"/>
        </w:rPr>
        <w:t>het keuzevak robotica.</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4157C3">
        <w:rPr>
          <w:rFonts w:asciiTheme="majorHAnsi" w:eastAsiaTheme="majorEastAsia" w:hAnsiTheme="majorHAnsi" w:cstheme="majorBidi"/>
          <w:color w:val="365F91" w:themeColor="accent1" w:themeShade="BF"/>
          <w:sz w:val="26"/>
          <w:szCs w:val="26"/>
          <w:lang w:eastAsia="en-US"/>
        </w:rPr>
        <w:t xml:space="preserve">De context van D&amp;P </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Het D&amp;P profiel wordt verdeeld over de beide leerjaren van de bovenbouw en aangeboden in de context van een keuzevak. Voor de herkenbaarheid naar leerlingen presenteert de school net als de keuzevakken ook de contexten als thema's. Leerlingen kunnen het profiel volgen in de context van t</w:t>
      </w:r>
      <w:r w:rsidR="00A03BCD">
        <w:rPr>
          <w:rFonts w:asciiTheme="minorHAnsi" w:eastAsiaTheme="minorHAnsi" w:hAnsiTheme="minorHAnsi" w:cstheme="minorBidi"/>
          <w:sz w:val="20"/>
          <w:lang w:eastAsia="en-US"/>
        </w:rPr>
        <w:t xml:space="preserve">echniek, zorg, economie of </w:t>
      </w:r>
      <w:r w:rsidR="00A03BCD" w:rsidRPr="000B698F">
        <w:rPr>
          <w:rFonts w:asciiTheme="minorHAnsi" w:eastAsiaTheme="minorHAnsi" w:hAnsiTheme="minorHAnsi" w:cstheme="minorBidi"/>
          <w:sz w:val="20"/>
          <w:lang w:eastAsia="en-US"/>
        </w:rPr>
        <w:t>groen</w:t>
      </w:r>
      <w:r w:rsidRPr="004157C3">
        <w:rPr>
          <w:rFonts w:asciiTheme="minorHAnsi" w:eastAsiaTheme="minorHAnsi" w:hAnsiTheme="minorHAnsi" w:cstheme="minorBidi"/>
          <w:sz w:val="20"/>
          <w:lang w:eastAsia="en-US"/>
        </w:rPr>
        <w:t xml:space="preserve">. Door het keuzevak te combineren of te integreren in het profielvak ontstaat er voor leerlingen een samenhangend en betekenisvol onderwijsprogramma. </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4157C3">
        <w:rPr>
          <w:rFonts w:asciiTheme="majorHAnsi" w:eastAsiaTheme="majorEastAsia" w:hAnsiTheme="majorHAnsi" w:cstheme="majorBidi"/>
          <w:color w:val="365F91" w:themeColor="accent1" w:themeShade="BF"/>
          <w:sz w:val="26"/>
          <w:szCs w:val="26"/>
          <w:lang w:eastAsia="en-US"/>
        </w:rPr>
        <w:t>Verdiepende en verbredende leerroutes</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 xml:space="preserve">Eind leerjaar 2 kiezen leerlingen het thema waarin zij in leerjaar 3 het D&amp;P profiel willen volgen. Daarnaast kiezen leerlingen 2 keuzevakken uit een aanbod van 7 keuzevakken. </w:t>
      </w:r>
    </w:p>
    <w:p w:rsidR="004157C3" w:rsidRPr="000B698F"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In leerjaar 4 kunnen leerlingen voor de andere helft van het profielvak opnieuw een thema kiezen en daarnaast 1 keuzevak kiezen uit een rijtje van 5</w:t>
      </w:r>
      <w:r w:rsidR="00A03BCD">
        <w:rPr>
          <w:rFonts w:asciiTheme="minorHAnsi" w:eastAsiaTheme="minorHAnsi" w:hAnsiTheme="minorHAnsi" w:cstheme="minorBidi"/>
          <w:sz w:val="20"/>
          <w:lang w:eastAsia="en-US"/>
        </w:rPr>
        <w:t xml:space="preserve">. Per </w:t>
      </w:r>
      <w:r w:rsidR="00A03BCD" w:rsidRPr="000B698F">
        <w:rPr>
          <w:rFonts w:asciiTheme="minorHAnsi" w:eastAsiaTheme="minorHAnsi" w:hAnsiTheme="minorHAnsi" w:cstheme="minorBidi"/>
          <w:sz w:val="20"/>
          <w:lang w:eastAsia="en-US"/>
        </w:rPr>
        <w:t>week besteden leerlingen 4</w:t>
      </w:r>
      <w:r w:rsidRPr="000B698F">
        <w:rPr>
          <w:rFonts w:asciiTheme="minorHAnsi" w:eastAsiaTheme="minorHAnsi" w:hAnsiTheme="minorHAnsi" w:cstheme="minorBidi"/>
          <w:sz w:val="20"/>
          <w:lang w:eastAsia="en-US"/>
        </w:rPr>
        <w:t xml:space="preserve"> </w:t>
      </w:r>
      <w:r w:rsidR="00A03BCD" w:rsidRPr="000B698F">
        <w:rPr>
          <w:rFonts w:asciiTheme="minorHAnsi" w:eastAsiaTheme="minorHAnsi" w:hAnsiTheme="minorHAnsi" w:cstheme="minorBidi"/>
          <w:sz w:val="20"/>
          <w:lang w:eastAsia="en-US"/>
        </w:rPr>
        <w:t>uur aan het profielvak en 8</w:t>
      </w:r>
      <w:r w:rsidRPr="000B698F">
        <w:rPr>
          <w:rFonts w:asciiTheme="minorHAnsi" w:eastAsiaTheme="minorHAnsi" w:hAnsiTheme="minorHAnsi" w:cstheme="minorBidi"/>
          <w:sz w:val="20"/>
          <w:lang w:eastAsia="en-US"/>
        </w:rPr>
        <w:t xml:space="preserve"> uur aan de keuzevakken.</w:t>
      </w:r>
    </w:p>
    <w:p w:rsidR="00E80B98" w:rsidRPr="004157C3" w:rsidRDefault="00E80B98"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Er is een relatie tussen het aanbod van kl</w:t>
      </w:r>
      <w:bookmarkStart w:id="0" w:name="_GoBack"/>
      <w:bookmarkEnd w:id="0"/>
      <w:r w:rsidRPr="004157C3">
        <w:rPr>
          <w:rFonts w:asciiTheme="minorHAnsi" w:eastAsiaTheme="minorHAnsi" w:hAnsiTheme="minorHAnsi" w:cstheme="minorBidi"/>
          <w:sz w:val="20"/>
          <w:lang w:eastAsia="en-US"/>
        </w:rPr>
        <w:t xml:space="preserve">as 3 en klas 4. Leerlingen kunnen door aan elkaar verwante thema's te kiezen een verdiepende leerroute volgen, of juist, door niet verwante keuzes te maken een verbredende leerroute volgen. </w:t>
      </w:r>
    </w:p>
    <w:p w:rsidR="00E80B98" w:rsidRPr="004157C3" w:rsidRDefault="00E80B98"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Aan het eind van leerjaar 4 hebben alle leerlingen het D&amp;P profiel gevolgd en 5 keuzevakken gedaan. Ieder thema wordt afgesloten met een grote praktische opdracht</w:t>
      </w:r>
      <w:r w:rsidR="00DA2E0F">
        <w:rPr>
          <w:rFonts w:asciiTheme="minorHAnsi" w:eastAsiaTheme="minorHAnsi" w:hAnsiTheme="minorHAnsi" w:cstheme="minorBidi"/>
          <w:sz w:val="20"/>
          <w:lang w:eastAsia="en-US"/>
        </w:rPr>
        <w:t>. In de periode daaraan voorafgaand worden voortgangstoetsen afgenomen</w:t>
      </w:r>
      <w:r w:rsidRPr="004157C3">
        <w:rPr>
          <w:rFonts w:asciiTheme="minorHAnsi" w:eastAsiaTheme="minorHAnsi" w:hAnsiTheme="minorHAnsi" w:cstheme="minorBidi"/>
          <w:sz w:val="20"/>
          <w:lang w:eastAsia="en-US"/>
        </w:rPr>
        <w:t xml:space="preserve">. Indien mogelijk wordt daarbij gebruik gemaakt van eerdere CSPE's. Het voordeel hiervan is dat leerlingen weten hoe een toets opgebouwd is en leren de toets te lezen. De resultaten van alle vijf de keuzevakken tellen mee in de slaag-zakregeling. </w:t>
      </w:r>
    </w:p>
    <w:p w:rsidR="00E80B98" w:rsidRDefault="00E80B98"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E80B98" w:rsidRDefault="00E80B98">
      <w:pPr>
        <w:overflowPunct/>
        <w:autoSpaceDE/>
        <w:autoSpaceDN/>
        <w:adjustRightInd/>
        <w:spacing w:line="240" w:lineRule="auto"/>
        <w:textAlignment w:val="auto"/>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br w:type="page"/>
      </w:r>
    </w:p>
    <w:p w:rsidR="00E80B98" w:rsidRPr="00C90DC8" w:rsidRDefault="00C90DC8" w:rsidP="004157C3">
      <w:pPr>
        <w:overflowPunct/>
        <w:autoSpaceDE/>
        <w:autoSpaceDN/>
        <w:adjustRightInd/>
        <w:spacing w:line="240" w:lineRule="atLeast"/>
        <w:textAlignment w:val="auto"/>
        <w:rPr>
          <w:rFonts w:asciiTheme="minorHAnsi" w:eastAsiaTheme="minorHAnsi" w:hAnsiTheme="minorHAnsi" w:cstheme="minorBidi"/>
          <w:b/>
          <w:sz w:val="20"/>
          <w:lang w:eastAsia="en-US"/>
        </w:rPr>
      </w:pPr>
      <w:r w:rsidRPr="00C90DC8">
        <w:rPr>
          <w:rFonts w:asciiTheme="minorHAnsi" w:eastAsiaTheme="minorHAnsi" w:hAnsiTheme="minorHAnsi" w:cstheme="minorBidi"/>
          <w:b/>
          <w:sz w:val="20"/>
          <w:lang w:eastAsia="en-US"/>
        </w:rPr>
        <w:lastRenderedPageBreak/>
        <w:t>De opbouw van het onderwijsaanbod</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tbl>
      <w:tblPr>
        <w:tblStyle w:val="Rastertabel4-Accent6"/>
        <w:tblW w:w="0" w:type="auto"/>
        <w:tblLook w:val="04A0" w:firstRow="1" w:lastRow="0" w:firstColumn="1" w:lastColumn="0" w:noHBand="0" w:noVBand="1"/>
      </w:tblPr>
      <w:tblGrid>
        <w:gridCol w:w="2072"/>
        <w:gridCol w:w="2055"/>
        <w:gridCol w:w="2088"/>
        <w:gridCol w:w="2109"/>
      </w:tblGrid>
      <w:tr w:rsidR="004157C3" w:rsidRPr="004157C3" w:rsidTr="00C90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7" w:type="dxa"/>
            <w:gridSpan w:val="2"/>
          </w:tcPr>
          <w:p w:rsidR="004157C3" w:rsidRPr="004157C3" w:rsidRDefault="004157C3" w:rsidP="004157C3">
            <w:pPr>
              <w:overflowPunct/>
              <w:autoSpaceDE/>
              <w:autoSpaceDN/>
              <w:adjustRightInd/>
              <w:spacing w:line="240" w:lineRule="auto"/>
              <w:jc w:val="center"/>
              <w:textAlignment w:val="auto"/>
              <w:rPr>
                <w:rFonts w:asciiTheme="minorHAnsi" w:hAnsiTheme="minorHAnsi"/>
                <w:szCs w:val="18"/>
              </w:rPr>
            </w:pPr>
            <w:r w:rsidRPr="004157C3">
              <w:rPr>
                <w:rFonts w:asciiTheme="minorHAnsi" w:hAnsiTheme="minorHAnsi"/>
                <w:szCs w:val="18"/>
              </w:rPr>
              <w:t>klas 3 bb/kb</w:t>
            </w:r>
          </w:p>
        </w:tc>
        <w:tc>
          <w:tcPr>
            <w:tcW w:w="4197" w:type="dxa"/>
            <w:gridSpan w:val="2"/>
          </w:tcPr>
          <w:p w:rsidR="004157C3" w:rsidRPr="004157C3" w:rsidRDefault="004157C3" w:rsidP="004157C3">
            <w:pPr>
              <w:overflowPunct/>
              <w:autoSpaceDE/>
              <w:autoSpaceDN/>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klas 4 bb/kb</w:t>
            </w:r>
          </w:p>
        </w:tc>
      </w:tr>
      <w:tr w:rsidR="004157C3" w:rsidRPr="004157C3" w:rsidTr="00C90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 xml:space="preserve">D&amp;P in context van </w:t>
            </w:r>
          </w:p>
          <w:p w:rsidR="004157C3" w:rsidRPr="004157C3" w:rsidRDefault="004157C3" w:rsidP="004157C3">
            <w:pPr>
              <w:overflowPunct/>
              <w:autoSpaceDE/>
              <w:autoSpaceDN/>
              <w:adjustRightInd/>
              <w:spacing w:line="240" w:lineRule="auto"/>
              <w:textAlignment w:val="auto"/>
              <w:rPr>
                <w:rFonts w:asciiTheme="minorHAnsi" w:hAnsiTheme="minorHAnsi"/>
                <w:i/>
                <w:szCs w:val="18"/>
              </w:rPr>
            </w:pPr>
            <w:r w:rsidRPr="004157C3">
              <w:rPr>
                <w:rFonts w:asciiTheme="minorHAnsi" w:hAnsiTheme="minorHAnsi"/>
                <w:i/>
                <w:szCs w:val="18"/>
              </w:rPr>
              <w:t>1 uit 5</w:t>
            </w:r>
          </w:p>
        </w:tc>
        <w:tc>
          <w:tcPr>
            <w:tcW w:w="2055"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Keuzevakken (thema's)</w:t>
            </w:r>
          </w:p>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i/>
                <w:szCs w:val="18"/>
              </w:rPr>
            </w:pPr>
            <w:r w:rsidRPr="004157C3">
              <w:rPr>
                <w:rFonts w:asciiTheme="minorHAnsi" w:hAnsiTheme="minorHAnsi"/>
                <w:i/>
                <w:szCs w:val="18"/>
              </w:rPr>
              <w:t>2 uit 7</w:t>
            </w:r>
          </w:p>
        </w:tc>
        <w:tc>
          <w:tcPr>
            <w:tcW w:w="2088"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 xml:space="preserve">D&amp;P in context van </w:t>
            </w:r>
          </w:p>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i/>
                <w:szCs w:val="18"/>
              </w:rPr>
            </w:pPr>
            <w:r w:rsidRPr="004157C3">
              <w:rPr>
                <w:rFonts w:asciiTheme="minorHAnsi" w:hAnsiTheme="minorHAnsi"/>
                <w:i/>
                <w:szCs w:val="18"/>
              </w:rPr>
              <w:t>1 uit 5</w:t>
            </w:r>
          </w:p>
        </w:tc>
        <w:tc>
          <w:tcPr>
            <w:tcW w:w="2109"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Keuzevakken (thema's)</w:t>
            </w:r>
          </w:p>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i/>
                <w:szCs w:val="18"/>
              </w:rPr>
            </w:pPr>
            <w:r w:rsidRPr="004157C3">
              <w:rPr>
                <w:rFonts w:asciiTheme="minorHAnsi" w:hAnsiTheme="minorHAnsi"/>
                <w:i/>
                <w:szCs w:val="18"/>
              </w:rPr>
              <w:t>1 uit 5</w:t>
            </w:r>
          </w:p>
        </w:tc>
      </w:tr>
      <w:tr w:rsidR="004157C3" w:rsidRPr="004157C3" w:rsidTr="00C90DC8">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Gezonde leefstijl</w:t>
            </w:r>
          </w:p>
        </w:tc>
        <w:tc>
          <w:tcPr>
            <w:tcW w:w="2055"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Dagbesteding</w:t>
            </w:r>
          </w:p>
        </w:tc>
        <w:tc>
          <w:tcPr>
            <w:tcW w:w="2088"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Facilitaire dienstverlening</w:t>
            </w:r>
          </w:p>
        </w:tc>
        <w:tc>
          <w:tcPr>
            <w:tcW w:w="2109"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Uiterlijke verzorging</w:t>
            </w:r>
          </w:p>
        </w:tc>
      </w:tr>
      <w:tr w:rsidR="004157C3" w:rsidRPr="004157C3" w:rsidTr="00C90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Podium Productie</w:t>
            </w:r>
          </w:p>
        </w:tc>
        <w:tc>
          <w:tcPr>
            <w:tcW w:w="2055"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Mens &amp; zorg</w:t>
            </w:r>
          </w:p>
        </w:tc>
        <w:tc>
          <w:tcPr>
            <w:tcW w:w="2088"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Mode &amp; design</w:t>
            </w:r>
          </w:p>
        </w:tc>
        <w:tc>
          <w:tcPr>
            <w:tcW w:w="2109"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Gamemaker</w:t>
            </w:r>
          </w:p>
        </w:tc>
      </w:tr>
      <w:tr w:rsidR="004157C3" w:rsidRPr="004157C3" w:rsidTr="00C90DC8">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Houden van dieren</w:t>
            </w:r>
          </w:p>
        </w:tc>
        <w:tc>
          <w:tcPr>
            <w:tcW w:w="2055"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Sport &amp; bewegen</w:t>
            </w:r>
          </w:p>
        </w:tc>
        <w:tc>
          <w:tcPr>
            <w:tcW w:w="2088"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Urban farming</w:t>
            </w:r>
          </w:p>
        </w:tc>
        <w:tc>
          <w:tcPr>
            <w:tcW w:w="2109"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Groene machinepark</w:t>
            </w:r>
          </w:p>
        </w:tc>
      </w:tr>
      <w:tr w:rsidR="004157C3" w:rsidRPr="004157C3" w:rsidTr="00C90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Meubelmaken</w:t>
            </w:r>
          </w:p>
        </w:tc>
        <w:tc>
          <w:tcPr>
            <w:tcW w:w="2055"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Tekenen, schilderen &amp; illustreren</w:t>
            </w:r>
          </w:p>
        </w:tc>
        <w:tc>
          <w:tcPr>
            <w:tcW w:w="2088"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Engineering</w:t>
            </w:r>
          </w:p>
        </w:tc>
        <w:tc>
          <w:tcPr>
            <w:tcW w:w="2109"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Interieurontwerp &amp; design</w:t>
            </w:r>
          </w:p>
        </w:tc>
      </w:tr>
      <w:tr w:rsidR="004157C3" w:rsidRPr="004157C3" w:rsidTr="00C90DC8">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r w:rsidRPr="004157C3">
              <w:rPr>
                <w:rFonts w:asciiTheme="minorHAnsi" w:hAnsiTheme="minorHAnsi"/>
                <w:szCs w:val="18"/>
              </w:rPr>
              <w:t>Servicepunt</w:t>
            </w:r>
          </w:p>
        </w:tc>
        <w:tc>
          <w:tcPr>
            <w:tcW w:w="2055"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Robotica</w:t>
            </w:r>
          </w:p>
        </w:tc>
        <w:tc>
          <w:tcPr>
            <w:tcW w:w="2088"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b/>
                <w:szCs w:val="18"/>
              </w:rPr>
            </w:pPr>
            <w:r w:rsidRPr="004157C3">
              <w:rPr>
                <w:rFonts w:asciiTheme="minorHAnsi" w:hAnsiTheme="minorHAnsi"/>
                <w:b/>
                <w:szCs w:val="18"/>
              </w:rPr>
              <w:t>Ondernemen</w:t>
            </w:r>
          </w:p>
        </w:tc>
        <w:tc>
          <w:tcPr>
            <w:tcW w:w="2109" w:type="dxa"/>
          </w:tcPr>
          <w:p w:rsidR="004157C3" w:rsidRPr="004157C3" w:rsidRDefault="004157C3" w:rsidP="004157C3">
            <w:pPr>
              <w:overflowPunct/>
              <w:autoSpaceDE/>
              <w:autoSpaceDN/>
              <w:adjustRightInd/>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4157C3">
              <w:rPr>
                <w:rFonts w:asciiTheme="minorHAnsi" w:hAnsiTheme="minorHAnsi"/>
                <w:szCs w:val="18"/>
              </w:rPr>
              <w:t>Green art</w:t>
            </w:r>
          </w:p>
        </w:tc>
      </w:tr>
      <w:tr w:rsidR="004157C3" w:rsidRPr="004157C3" w:rsidTr="00C90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Pr>
          <w:p w:rsidR="004157C3" w:rsidRPr="004157C3" w:rsidRDefault="004157C3" w:rsidP="004157C3">
            <w:pPr>
              <w:overflowPunct/>
              <w:autoSpaceDE/>
              <w:autoSpaceDN/>
              <w:adjustRightInd/>
              <w:spacing w:line="240" w:lineRule="auto"/>
              <w:textAlignment w:val="auto"/>
              <w:rPr>
                <w:rFonts w:asciiTheme="minorHAnsi" w:hAnsiTheme="minorHAnsi"/>
                <w:szCs w:val="18"/>
              </w:rPr>
            </w:pPr>
          </w:p>
        </w:tc>
        <w:tc>
          <w:tcPr>
            <w:tcW w:w="2055"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r w:rsidRPr="004157C3">
              <w:rPr>
                <w:rFonts w:asciiTheme="minorHAnsi" w:hAnsiTheme="minorHAnsi"/>
                <w:szCs w:val="18"/>
              </w:rPr>
              <w:t>3d vormgeving &amp; realisatie</w:t>
            </w:r>
          </w:p>
        </w:tc>
        <w:tc>
          <w:tcPr>
            <w:tcW w:w="2088"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tc>
        <w:tc>
          <w:tcPr>
            <w:tcW w:w="2109" w:type="dxa"/>
          </w:tcPr>
          <w:p w:rsidR="004157C3" w:rsidRPr="004157C3" w:rsidRDefault="004157C3" w:rsidP="004157C3">
            <w:pPr>
              <w:overflowPunct/>
              <w:autoSpaceDE/>
              <w:autoSpaceDN/>
              <w:adjustRightInd/>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szCs w:val="18"/>
              </w:rPr>
            </w:pPr>
          </w:p>
        </w:tc>
      </w:tr>
    </w:tbl>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Cs w:val="18"/>
          <w:lang w:eastAsia="en-US"/>
        </w:rPr>
      </w:pPr>
      <w:r w:rsidRPr="004157C3">
        <w:rPr>
          <w:rFonts w:asciiTheme="minorHAnsi" w:eastAsiaTheme="minorHAnsi" w:hAnsiTheme="minorHAnsi" w:cstheme="minorBidi"/>
          <w:szCs w:val="18"/>
          <w:lang w:eastAsia="en-US"/>
        </w:rPr>
        <w:t>Enkele van de hierboven genoemde keuzevakken komen niet overeen met de oorspronkelijke titels van de keuzevakken (www.vernieuwing</w:t>
      </w:r>
      <w:r w:rsidR="00C90DC8">
        <w:rPr>
          <w:rFonts w:asciiTheme="minorHAnsi" w:eastAsiaTheme="minorHAnsi" w:hAnsiTheme="minorHAnsi" w:cstheme="minorBidi"/>
          <w:szCs w:val="18"/>
          <w:lang w:eastAsia="en-US"/>
        </w:rPr>
        <w:t>vmbo.nl). Scholen mogen zelf de titel bepalen van een keuzevak</w:t>
      </w:r>
      <w:r w:rsidRPr="004157C3">
        <w:rPr>
          <w:rFonts w:asciiTheme="minorHAnsi" w:eastAsiaTheme="minorHAnsi" w:hAnsiTheme="minorHAnsi" w:cstheme="minorBidi"/>
          <w:szCs w:val="18"/>
          <w:lang w:eastAsia="en-US"/>
        </w:rPr>
        <w:t xml:space="preserve">. Op het diploma van de leerling komt de oorspronkelijke titel te staan.  </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4157C3">
        <w:rPr>
          <w:rFonts w:asciiTheme="majorHAnsi" w:eastAsiaTheme="majorEastAsia" w:hAnsiTheme="majorHAnsi" w:cstheme="majorBidi"/>
          <w:color w:val="365F91" w:themeColor="accent1" w:themeShade="BF"/>
          <w:sz w:val="26"/>
          <w:szCs w:val="26"/>
          <w:lang w:eastAsia="en-US"/>
        </w:rPr>
        <w:t>Eigen lesmateriaal ontwikkelen</w:t>
      </w:r>
    </w:p>
    <w:p w:rsidR="004157C3" w:rsidRPr="004157C3" w:rsidRDefault="004157C3" w:rsidP="004157C3">
      <w:pPr>
        <w:overflowPunct/>
        <w:autoSpaceDE/>
        <w:autoSpaceDN/>
        <w:adjustRightInd/>
        <w:spacing w:line="240" w:lineRule="atLeast"/>
        <w:textAlignment w:val="auto"/>
        <w:rPr>
          <w:rFonts w:asciiTheme="minorHAnsi" w:eastAsiaTheme="minorHAnsi" w:hAnsiTheme="minorHAnsi" w:cstheme="minorBidi"/>
          <w:sz w:val="20"/>
          <w:lang w:eastAsia="en-US"/>
        </w:rPr>
      </w:pPr>
      <w:r w:rsidRPr="004157C3">
        <w:rPr>
          <w:rFonts w:asciiTheme="minorHAnsi" w:eastAsiaTheme="minorHAnsi" w:hAnsiTheme="minorHAnsi" w:cstheme="minorBidi"/>
          <w:sz w:val="20"/>
          <w:lang w:eastAsia="en-US"/>
        </w:rPr>
        <w:t xml:space="preserve">De docenten ontwikkelen bij de thema's zelf het lesmateriaal. Dit is een arbeidsintensief proces </w:t>
      </w:r>
      <w:r w:rsidR="00DA2E0F">
        <w:rPr>
          <w:rFonts w:asciiTheme="minorHAnsi" w:eastAsiaTheme="minorHAnsi" w:hAnsiTheme="minorHAnsi" w:cstheme="minorBidi"/>
          <w:sz w:val="20"/>
          <w:lang w:eastAsia="en-US"/>
        </w:rPr>
        <w:t>maar het</w:t>
      </w:r>
      <w:r w:rsidRPr="004157C3">
        <w:rPr>
          <w:rFonts w:asciiTheme="minorHAnsi" w:eastAsiaTheme="minorHAnsi" w:hAnsiTheme="minorHAnsi" w:cstheme="minorBidi"/>
          <w:sz w:val="20"/>
          <w:lang w:eastAsia="en-US"/>
        </w:rPr>
        <w:t xml:space="preserve"> voordeel </w:t>
      </w:r>
      <w:r w:rsidR="00DA2E0F">
        <w:rPr>
          <w:rFonts w:asciiTheme="minorHAnsi" w:eastAsiaTheme="minorHAnsi" w:hAnsiTheme="minorHAnsi" w:cstheme="minorBidi"/>
          <w:sz w:val="20"/>
          <w:lang w:eastAsia="en-US"/>
        </w:rPr>
        <w:t xml:space="preserve">is </w:t>
      </w:r>
      <w:r w:rsidRPr="004157C3">
        <w:rPr>
          <w:rFonts w:asciiTheme="minorHAnsi" w:eastAsiaTheme="minorHAnsi" w:hAnsiTheme="minorHAnsi" w:cstheme="minorBidi"/>
          <w:sz w:val="20"/>
          <w:lang w:eastAsia="en-US"/>
        </w:rPr>
        <w:t xml:space="preserve">dat het materiaal goed aansluit bij de leeromgeving, de regio en de samenwerking met het mbo. De grote variatie aan thema's maakt dat ook andere dan de beroepsgerichte vakdocenten verantwoordelijk zijn voor de lessen en het lesmateriaal. Een kunstdocent biedt het thema Tekenen, schilderen &amp; illustreren aan. Een sportdocent is verantwoordelijk voor de sportthema's. </w:t>
      </w: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p>
    <w:p w:rsidR="004157C3" w:rsidRPr="004157C3" w:rsidRDefault="004157C3" w:rsidP="004157C3">
      <w:pPr>
        <w:keepNext/>
        <w:keepLines/>
        <w:overflowPunct/>
        <w:autoSpaceDE/>
        <w:autoSpaceDN/>
        <w:adjustRightInd/>
        <w:spacing w:before="40" w:line="240" w:lineRule="atLeast"/>
        <w:textAlignment w:val="auto"/>
        <w:outlineLvl w:val="1"/>
        <w:rPr>
          <w:rFonts w:asciiTheme="majorHAnsi" w:eastAsiaTheme="majorEastAsia" w:hAnsiTheme="majorHAnsi" w:cstheme="majorBidi"/>
          <w:color w:val="365F91" w:themeColor="accent1" w:themeShade="BF"/>
          <w:sz w:val="26"/>
          <w:szCs w:val="26"/>
          <w:lang w:eastAsia="en-US"/>
        </w:rPr>
      </w:pPr>
      <w:r w:rsidRPr="004157C3">
        <w:rPr>
          <w:rFonts w:asciiTheme="majorHAnsi" w:eastAsiaTheme="majorEastAsia" w:hAnsiTheme="majorHAnsi" w:cstheme="majorBidi"/>
          <w:color w:val="365F91" w:themeColor="accent1" w:themeShade="BF"/>
          <w:sz w:val="26"/>
          <w:szCs w:val="26"/>
          <w:lang w:eastAsia="en-US"/>
        </w:rPr>
        <w:t>Oriëntatie in de onderbouw</w:t>
      </w: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r w:rsidRPr="004157C3">
        <w:rPr>
          <w:rFonts w:asciiTheme="minorHAnsi" w:eastAsiaTheme="minorHAnsi" w:hAnsiTheme="minorHAnsi" w:cstheme="minorBidi"/>
          <w:sz w:val="20"/>
          <w:lang w:eastAsia="en-US"/>
        </w:rPr>
        <w:t>Ter voorbereiding op de themakeuze - aan het eind van leerjaar 2 - krijgen leerlingen in de onderbouw zogenaamde mini-thema's aangeboden. De mini-thema's staan in het teken van de arbeidsgebieden. Het oriëntatieproces van de leerling die weet wat hij wil wordt steeds smaller. De leerling die minder goed weet wat hij mag kan zich blijven oriënteren. LOB is daarmee de rode draad van leerjaar 1 tot 4. Een aantal malen per jaar voeren docenten reflectiegesprekken met leerlingen. De ervaring van de school is dat ook de lessen een goede graadmeter zijn. Uit de reacties van leerlingen tijdens de lessen blijkt of zij enthousiast zijn.</w:t>
      </w: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p>
    <w:p w:rsidR="004157C3" w:rsidRPr="004157C3" w:rsidRDefault="004157C3" w:rsidP="004157C3">
      <w:pPr>
        <w:overflowPunct/>
        <w:autoSpaceDE/>
        <w:autoSpaceDN/>
        <w:adjustRightInd/>
        <w:spacing w:line="240" w:lineRule="atLeast"/>
        <w:textAlignment w:val="auto"/>
        <w:rPr>
          <w:rFonts w:eastAsiaTheme="minorHAnsi" w:cstheme="minorBidi"/>
          <w:sz w:val="20"/>
          <w:lang w:eastAsia="en-US"/>
        </w:rPr>
      </w:pPr>
    </w:p>
    <w:p w:rsidR="00E51397" w:rsidRPr="001615E3" w:rsidRDefault="00E51397" w:rsidP="001615E3"/>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EDA" w:rsidRDefault="00062EDA">
      <w:r>
        <w:separator/>
      </w:r>
    </w:p>
  </w:endnote>
  <w:endnote w:type="continuationSeparator" w:id="0">
    <w:p w:rsidR="00062EDA" w:rsidRDefault="0006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227972" w:rsidP="00227972">
    <w:pPr>
      <w:pStyle w:val="Voettekst"/>
      <w:tabs>
        <w:tab w:val="clear" w:pos="9072"/>
        <w:tab w:val="right" w:pos="8280"/>
      </w:tabs>
    </w:pPr>
    <w:r>
      <w:rPr>
        <w:rStyle w:val="Paginanummer"/>
      </w:rPr>
      <w:t>Bron:</w:t>
    </w:r>
    <w:r w:rsidR="00E80B98" w:rsidRPr="00E80B98">
      <w:t xml:space="preserve"> </w:t>
    </w:r>
    <w:r w:rsidR="00E80B98" w:rsidRPr="00E80B98">
      <w:rPr>
        <w:rStyle w:val="Paginanummer"/>
      </w:rPr>
      <w:t>http://handreikingschoolexamen.slo.nl/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B698F">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14:anchorId="681243BC" wp14:editId="1FBD6BE6">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EDA" w:rsidRDefault="00062EDA">
      <w:r>
        <w:separator/>
      </w:r>
    </w:p>
  </w:footnote>
  <w:footnote w:type="continuationSeparator" w:id="0">
    <w:p w:rsidR="00062EDA" w:rsidRDefault="00062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7C3"/>
    <w:rsid w:val="00062EDA"/>
    <w:rsid w:val="000A2953"/>
    <w:rsid w:val="000B698F"/>
    <w:rsid w:val="001615E3"/>
    <w:rsid w:val="001A565A"/>
    <w:rsid w:val="00227972"/>
    <w:rsid w:val="00235D22"/>
    <w:rsid w:val="003E0EA5"/>
    <w:rsid w:val="004157C3"/>
    <w:rsid w:val="004D62C0"/>
    <w:rsid w:val="00553A24"/>
    <w:rsid w:val="006215F6"/>
    <w:rsid w:val="00762834"/>
    <w:rsid w:val="007F016D"/>
    <w:rsid w:val="008038A1"/>
    <w:rsid w:val="0088760E"/>
    <w:rsid w:val="00890B33"/>
    <w:rsid w:val="00995FAA"/>
    <w:rsid w:val="009D59F7"/>
    <w:rsid w:val="00A03BCD"/>
    <w:rsid w:val="00A62CF2"/>
    <w:rsid w:val="00C6085F"/>
    <w:rsid w:val="00C90DC8"/>
    <w:rsid w:val="00CC3512"/>
    <w:rsid w:val="00DA2E0F"/>
    <w:rsid w:val="00DA50A2"/>
    <w:rsid w:val="00DB21B0"/>
    <w:rsid w:val="00DD4603"/>
    <w:rsid w:val="00E063C4"/>
    <w:rsid w:val="00E51397"/>
    <w:rsid w:val="00E80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3024584-BAEB-4724-A9D1-4D98B763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uiPriority w:val="9"/>
    <w:qFormat/>
    <w:rsid w:val="004157C3"/>
    <w:pPr>
      <w:keepNext/>
      <w:keepLines/>
      <w:overflowPunct/>
      <w:autoSpaceDE/>
      <w:autoSpaceDN/>
      <w:adjustRightInd/>
      <w:spacing w:before="240" w:line="240" w:lineRule="atLeast"/>
      <w:textAlignment w:val="auto"/>
      <w:outlineLvl w:val="0"/>
    </w:pPr>
    <w:rPr>
      <w:rFonts w:asciiTheme="majorHAnsi" w:eastAsiaTheme="majorEastAsia" w:hAnsiTheme="majorHAnsi" w:cstheme="majorBidi"/>
      <w:color w:val="365F91" w:themeColor="accent1" w:themeShade="BF"/>
      <w:sz w:val="32"/>
      <w:szCs w:val="3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4157C3"/>
    <w:rPr>
      <w:rFonts w:asciiTheme="majorHAnsi" w:eastAsiaTheme="majorEastAsia" w:hAnsiTheme="majorHAnsi" w:cstheme="majorBidi"/>
      <w:color w:val="365F91" w:themeColor="accent1" w:themeShade="BF"/>
      <w:sz w:val="32"/>
      <w:szCs w:val="32"/>
      <w:lang w:eastAsia="en-US"/>
    </w:rPr>
  </w:style>
  <w:style w:type="table" w:styleId="Onopgemaaktetabel1">
    <w:name w:val="Plain Table 1"/>
    <w:basedOn w:val="Standaardtabel"/>
    <w:uiPriority w:val="41"/>
    <w:rsid w:val="004157C3"/>
    <w:rPr>
      <w:rFonts w:ascii="Arial" w:eastAsiaTheme="minorHAnsi"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4-Accent6">
    <w:name w:val="Grid Table 4 Accent 6"/>
    <w:basedOn w:val="Standaardtabel"/>
    <w:uiPriority w:val="49"/>
    <w:rsid w:val="00C90DC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Verwijzingopmerking">
    <w:name w:val="annotation reference"/>
    <w:basedOn w:val="Standaardalinea-lettertype"/>
    <w:semiHidden/>
    <w:unhideWhenUsed/>
    <w:rsid w:val="00553A24"/>
    <w:rPr>
      <w:sz w:val="16"/>
      <w:szCs w:val="16"/>
    </w:rPr>
  </w:style>
  <w:style w:type="paragraph" w:styleId="Tekstopmerking">
    <w:name w:val="annotation text"/>
    <w:basedOn w:val="Standaard"/>
    <w:link w:val="TekstopmerkingChar"/>
    <w:semiHidden/>
    <w:unhideWhenUsed/>
    <w:rsid w:val="00553A24"/>
    <w:pPr>
      <w:spacing w:line="240" w:lineRule="auto"/>
    </w:pPr>
    <w:rPr>
      <w:sz w:val="20"/>
    </w:rPr>
  </w:style>
  <w:style w:type="character" w:customStyle="1" w:styleId="TekstopmerkingChar">
    <w:name w:val="Tekst opmerking Char"/>
    <w:basedOn w:val="Standaardalinea-lettertype"/>
    <w:link w:val="Tekstopmerking"/>
    <w:semiHidden/>
    <w:rsid w:val="00553A24"/>
    <w:rPr>
      <w:rFonts w:ascii="Arial" w:hAnsi="Arial"/>
    </w:rPr>
  </w:style>
  <w:style w:type="paragraph" w:styleId="Onderwerpvanopmerking">
    <w:name w:val="annotation subject"/>
    <w:basedOn w:val="Tekstopmerking"/>
    <w:next w:val="Tekstopmerking"/>
    <w:link w:val="OnderwerpvanopmerkingChar"/>
    <w:semiHidden/>
    <w:unhideWhenUsed/>
    <w:rsid w:val="00553A24"/>
    <w:rPr>
      <w:b/>
      <w:bCs/>
    </w:rPr>
  </w:style>
  <w:style w:type="character" w:customStyle="1" w:styleId="OnderwerpvanopmerkingChar">
    <w:name w:val="Onderwerp van opmerking Char"/>
    <w:basedOn w:val="TekstopmerkingChar"/>
    <w:link w:val="Onderwerpvanopmerking"/>
    <w:semiHidden/>
    <w:rsid w:val="00553A24"/>
    <w:rPr>
      <w:rFonts w:ascii="Arial" w:hAnsi="Arial"/>
      <w:b/>
      <w:bCs/>
    </w:rPr>
  </w:style>
  <w:style w:type="paragraph" w:styleId="Ballontekst">
    <w:name w:val="Balloon Text"/>
    <w:basedOn w:val="Standaard"/>
    <w:link w:val="BallontekstChar"/>
    <w:semiHidden/>
    <w:unhideWhenUsed/>
    <w:rsid w:val="00553A2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3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EUxgJYsnN5E"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nieuw beroepsgericht</RepProjectName>
    <RepFileFormat_0 xmlns="http://schemas.microsoft.com/sharepoint/v3">
      <Terms xmlns="http://schemas.microsoft.com/office/infopath/2007/PartnerControls"/>
    </RepFileFormat_0>
    <RepANNumber xmlns="http://schemas.microsoft.com/sharepoint/v3" xsi:nil="true"/>
    <RepIsbn xmlns="http://schemas.microsoft.com/sharepoint/v3" xsi:nil="true"/>
    <_dlc_DocId xmlns="7106a2ac-038a-457f-8b58-ec67130d9d6d">47XQ5P3E4USX-10-3719</_dlc_DocId>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TaxCatchAll xmlns="7106a2ac-038a-457f-8b58-ec67130d9d6d">
      <Value>594</Value>
      <Value>644</Value>
      <Value>115</Value>
      <Value>140</Value>
    </TaxCatchAll>
    <RepSummary xmlns="http://schemas.microsoft.com/sharepoint/v3" xsi:nil="true"/>
    <RepSubjectContent_0 xmlns="http://schemas.microsoft.com/sharepoint/v3">
      <Terms xmlns="http://schemas.microsoft.com/office/infopath/2007/PartnerControls">
        <TermInfo xmlns="http://schemas.microsoft.com/office/infopath/2007/PartnerControls">
          <TermName xmlns="http://schemas.microsoft.com/office/infopath/2007/PartnerControls">Dienstverlening en producten</TermName>
          <TermId xmlns="http://schemas.microsoft.com/office/infopath/2007/PartnerControls">50f947b2-4907-44ca-aa2f-6a3d1ed0ad32</TermId>
        </TermInfo>
      </Terms>
    </RepSubjectContent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s>
    </RepSection_0>
    <RepCurricularTheme_0 xmlns="http://schemas.microsoft.com/sharepoint/v3">
      <Terms xmlns="http://schemas.microsoft.com/office/infopath/2007/PartnerControls"/>
    </RepCurricularTheme_0>
    <RepAuthorInternal xmlns="http://schemas.microsoft.com/sharepoint/v3">
      <UserInfo>
        <DisplayName/>
        <AccountId xsi:nil="true"/>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https://cms-downloads.slo.nl/_layouts/15/DocIdRedir.aspx?ID=47XQ5P3E4USX-10-3719</Url>
      <Description>47XQ5P3E4USX-10-3719</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TermInfo xmlns="http://schemas.microsoft.com/office/infopath/2007/PartnerControls">
          <TermName xmlns="http://schemas.microsoft.com/office/infopath/2007/PartnerControls">Vmbo</TermName>
          <TermId xmlns="http://schemas.microsoft.com/office/infopath/2007/PartnerControls">a0882a19-c86b-49cc-ac4f-e64db7811433</TermId>
        </TermInfo>
      </Terms>
    </RepSector_0>
  </documentManagement>
</p:properties>
</file>

<file path=customXml/itemProps1.xml><?xml version="1.0" encoding="utf-8"?>
<ds:datastoreItem xmlns:ds="http://schemas.openxmlformats.org/officeDocument/2006/customXml" ds:itemID="{5F5853CF-9BEB-4883-9100-C1222386FC24}"/>
</file>

<file path=customXml/itemProps2.xml><?xml version="1.0" encoding="utf-8"?>
<ds:datastoreItem xmlns:ds="http://schemas.openxmlformats.org/officeDocument/2006/customXml" ds:itemID="{71380FF8-61AC-4D9D-AABE-3406E10125A9}"/>
</file>

<file path=customXml/itemProps3.xml><?xml version="1.0" encoding="utf-8"?>
<ds:datastoreItem xmlns:ds="http://schemas.openxmlformats.org/officeDocument/2006/customXml" ds:itemID="{8EDD5BB3-068F-4536-9BA2-3383FFD5BC8E}"/>
</file>

<file path=customXml/itemProps4.xml><?xml version="1.0" encoding="utf-8"?>
<ds:datastoreItem xmlns:ds="http://schemas.openxmlformats.org/officeDocument/2006/customXml" ds:itemID="{DBFEBC39-0500-4A58-8EDC-FF889CF625DA}"/>
</file>

<file path=docProps/app.xml><?xml version="1.0" encoding="utf-8"?>
<Properties xmlns="http://schemas.openxmlformats.org/officeDocument/2006/extended-properties" xmlns:vt="http://schemas.openxmlformats.org/officeDocument/2006/docPropsVTypes">
  <Template>lesbrief.dotm</Template>
  <TotalTime>2</TotalTime>
  <Pages>2</Pages>
  <Words>724</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Viola van Lanschot Hubrecht</dc:creator>
  <cp:keywords/>
  <dc:description/>
  <cp:lastModifiedBy>Viola van Lanschot Hubrecht</cp:lastModifiedBy>
  <cp:revision>4</cp:revision>
  <cp:lastPrinted>2008-09-29T14:29:00Z</cp:lastPrinted>
  <dcterms:created xsi:type="dcterms:W3CDTF">2017-03-14T12:49:00Z</dcterms:created>
  <dcterms:modified xsi:type="dcterms:W3CDTF">2017-03-17T13:06:00Z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115;#Beroepsgerichte vakken|c02d3ee2-408b-4a01-9bc8-4f1229189dda</vt:lpwstr>
  </property>
  <property fmtid="{D5CDD505-2E9C-101B-9397-08002B2CF9AE}" pid="10" name="_dlc_DocIdItemGuid">
    <vt:lpwstr>d8b3ca76-88db-41e8-920c-27fc40986cd6</vt:lpwstr>
  </property>
  <property fmtid="{D5CDD505-2E9C-101B-9397-08002B2CF9AE}" pid="11" name="RepSubjectContent">
    <vt:lpwstr>594;#Dienstverlening en producten|50f947b2-4907-44ca-aa2f-6a3d1ed0ad32</vt:lpwstr>
  </property>
  <property fmtid="{D5CDD505-2E9C-101B-9397-08002B2CF9AE}" pid="12" name="RepAuthor">
    <vt:lpwstr/>
  </property>
  <property fmtid="{D5CDD505-2E9C-101B-9397-08002B2CF9AE}" pid="13" name="RepSector">
    <vt:lpwstr>140;#Vmbo|a0882a19-c86b-49cc-ac4f-e64db7811433</vt:lpwstr>
  </property>
  <property fmtid="{D5CDD505-2E9C-101B-9397-08002B2CF9AE}" pid="14" name="RepFileFormat">
    <vt:lpwstr/>
  </property>
  <property fmtid="{D5CDD505-2E9C-101B-9397-08002B2CF9AE}" pid="15" name="RepYear">
    <vt:lpwstr>644;#2017|a6898899-0b3c-4894-903b-6d77cee0ee3d</vt:lpwstr>
  </property>
</Properties>
</file>